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264" w:rsidRPr="00937A37" w:rsidRDefault="00190264" w:rsidP="00937A37">
      <w:pPr>
        <w:autoSpaceDE w:val="0"/>
        <w:autoSpaceDN w:val="0"/>
        <w:adjustRightInd w:val="0"/>
        <w:spacing w:after="0" w:line="240" w:lineRule="auto"/>
        <w:ind w:firstLine="720"/>
        <w:jc w:val="right"/>
        <w:rPr>
          <w:rFonts w:ascii="Arial" w:hAnsi="Arial" w:cs="Arial"/>
          <w:sz w:val="24"/>
          <w:szCs w:val="24"/>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r>
        <w:rPr>
          <w:rFonts w:ascii="Times New Roman" w:hAnsi="Times New Roman"/>
          <w:sz w:val="24"/>
          <w:szCs w:val="24"/>
          <w:lang w:eastAsia="ru-RU"/>
        </w:rPr>
        <w:br/>
        <w:t>от 12.07.2017г. №844</w:t>
      </w:r>
    </w:p>
    <w:p w:rsidR="00190264" w:rsidRPr="00937A37" w:rsidRDefault="00190264" w:rsidP="00937A37">
      <w:pPr>
        <w:autoSpaceDE w:val="0"/>
        <w:autoSpaceDN w:val="0"/>
        <w:adjustRightInd w:val="0"/>
        <w:spacing w:after="0" w:line="240" w:lineRule="auto"/>
        <w:ind w:firstLine="720"/>
        <w:jc w:val="both"/>
        <w:rPr>
          <w:rFonts w:ascii="Arial" w:hAnsi="Arial" w:cs="Arial"/>
          <w:sz w:val="24"/>
          <w:szCs w:val="24"/>
        </w:rPr>
      </w:pPr>
    </w:p>
    <w:p w:rsidR="00190264" w:rsidRPr="00F07707" w:rsidRDefault="00190264"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№06</w:t>
      </w:r>
      <w:r w:rsidRPr="00F07707">
        <w:rPr>
          <w:rFonts w:ascii="Times New Roman" w:hAnsi="Times New Roman"/>
          <w:b/>
          <w:bCs/>
          <w:color w:val="26282F"/>
          <w:sz w:val="26"/>
          <w:szCs w:val="26"/>
        </w:rPr>
        <w:t>р-17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p>
    <w:p w:rsidR="00190264" w:rsidRPr="00F07707" w:rsidRDefault="00190264"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w:t>
      </w:r>
      <w:r>
        <w:rPr>
          <w:rFonts w:ascii="Times New Roman" w:hAnsi="Times New Roman"/>
          <w:sz w:val="26"/>
          <w:szCs w:val="26"/>
        </w:rPr>
        <w:t>№</w:t>
      </w:r>
      <w:r w:rsidRPr="00F07707">
        <w:rPr>
          <w:rFonts w:ascii="Times New Roman" w:hAnsi="Times New Roman"/>
          <w:sz w:val="26"/>
          <w:szCs w:val="26"/>
        </w:rPr>
        <w:t xml:space="preserve">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p>
    <w:p w:rsidR="00190264" w:rsidRPr="00F07707" w:rsidRDefault="00190264"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p>
    <w:p w:rsidR="00190264" w:rsidRPr="00F07707" w:rsidRDefault="00190264"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190264" w:rsidRPr="00F07707" w:rsidRDefault="00190264"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190264" w:rsidRPr="00F07707" w:rsidRDefault="00190264">
      <w:pPr>
        <w:rPr>
          <w:rFonts w:ascii="Times New Roman" w:hAnsi="Times New Roman"/>
          <w:sz w:val="26"/>
          <w:szCs w:val="26"/>
        </w:rPr>
      </w:pPr>
    </w:p>
    <w:sectPr w:rsidR="00190264"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072411"/>
    <w:rsid w:val="00135E13"/>
    <w:rsid w:val="00153EE1"/>
    <w:rsid w:val="00190264"/>
    <w:rsid w:val="001B3518"/>
    <w:rsid w:val="001B59C2"/>
    <w:rsid w:val="00244615"/>
    <w:rsid w:val="002A2CE1"/>
    <w:rsid w:val="003072CD"/>
    <w:rsid w:val="00371D37"/>
    <w:rsid w:val="003A587A"/>
    <w:rsid w:val="00411DD2"/>
    <w:rsid w:val="005153A1"/>
    <w:rsid w:val="00546A5E"/>
    <w:rsid w:val="005F4DC7"/>
    <w:rsid w:val="00616BB7"/>
    <w:rsid w:val="00653FE8"/>
    <w:rsid w:val="00702CFC"/>
    <w:rsid w:val="00704594"/>
    <w:rsid w:val="0070759F"/>
    <w:rsid w:val="00720A7D"/>
    <w:rsid w:val="00775757"/>
    <w:rsid w:val="007F4889"/>
    <w:rsid w:val="00842306"/>
    <w:rsid w:val="00870B3D"/>
    <w:rsid w:val="008950D2"/>
    <w:rsid w:val="008F56AF"/>
    <w:rsid w:val="0091616A"/>
    <w:rsid w:val="00917F25"/>
    <w:rsid w:val="00925BFC"/>
    <w:rsid w:val="00937A37"/>
    <w:rsid w:val="00A63C48"/>
    <w:rsid w:val="00A95B93"/>
    <w:rsid w:val="00AC5273"/>
    <w:rsid w:val="00B2341F"/>
    <w:rsid w:val="00B87F52"/>
    <w:rsid w:val="00BA4C42"/>
    <w:rsid w:val="00BC769A"/>
    <w:rsid w:val="00BD0126"/>
    <w:rsid w:val="00C441B5"/>
    <w:rsid w:val="00C80911"/>
    <w:rsid w:val="00D63D5E"/>
    <w:rsid w:val="00DC3050"/>
    <w:rsid w:val="00DD12C0"/>
    <w:rsid w:val="00DF0F85"/>
    <w:rsid w:val="00E44663"/>
    <w:rsid w:val="00EA50DD"/>
    <w:rsid w:val="00ED3236"/>
    <w:rsid w:val="00F07707"/>
    <w:rsid w:val="00FD3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827</Words>
  <Characters>4717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3</cp:revision>
  <cp:lastPrinted>2017-04-28T07:43:00Z</cp:lastPrinted>
  <dcterms:created xsi:type="dcterms:W3CDTF">2017-07-10T09:48:00Z</dcterms:created>
  <dcterms:modified xsi:type="dcterms:W3CDTF">2017-07-12T08:02:00Z</dcterms:modified>
</cp:coreProperties>
</file>