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ПРОТОКОЛ АУКЦИОНА №</w:t>
      </w:r>
      <w:r w:rsidR="00D77C2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4</w:t>
      </w: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</w:p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(согласно извещению от 2</w:t>
      </w:r>
      <w:r w:rsidR="00D77C2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7</w:t>
      </w:r>
      <w:r w:rsidRPr="003A256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.04.2017)</w:t>
      </w:r>
    </w:p>
    <w:p w:rsidR="00AA6875" w:rsidRPr="003A2565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565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AA6875" w:rsidRPr="003A2565" w:rsidRDefault="00AA6875" w:rsidP="00AA687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3A2565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3A256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3A256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Pr="003A256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0</w:t>
      </w:r>
      <w:r w:rsidR="00D77C2B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5</w:t>
      </w:r>
      <w:r w:rsidRPr="003A2565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» июня 2017г.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аукциона:</w:t>
      </w:r>
    </w:p>
    <w:p w:rsidR="00AA6875" w:rsidRPr="00A0460C" w:rsidRDefault="00AA6875" w:rsidP="00AA687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0460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 с </w:t>
      </w:r>
      <w:r w:rsid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</w:t>
      </w:r>
      <w:r w:rsidRPr="00A0460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.06.2017 по </w:t>
      </w:r>
      <w:r w:rsid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Pr="00A0460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0.</w:t>
      </w:r>
      <w:r w:rsid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</w:t>
      </w:r>
      <w:r w:rsidRPr="00A0460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.2017.</w:t>
      </w:r>
    </w:p>
    <w:p w:rsidR="00D77C2B" w:rsidRPr="00D77C2B" w:rsidRDefault="00D77C2B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D77C2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</w:t>
      </w:r>
      <w:proofErr w:type="gramStart"/>
      <w:r w:rsidRPr="00D77C2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10</w:t>
      </w:r>
      <w:r w:rsidRPr="00D77C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proofErr w:type="gram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Генерала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Дзусова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19,  вид НТО – арбузная клетка по реализации бахчевых культур, площадью 12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p w:rsidR="00AA6875" w:rsidRDefault="00D77C2B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D77C2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№21</w:t>
      </w:r>
      <w:r w:rsidRPr="00D77C2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Гизельское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шоссе, 20 «а», вид НТО – арбузная клетка по реализации бахчевых культур, площадью 12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D77C2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p w:rsidR="004120F5" w:rsidRPr="00D77C2B" w:rsidRDefault="004120F5" w:rsidP="004120F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70D34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№29</w:t>
      </w:r>
      <w:r w:rsidRPr="00470D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: </w:t>
      </w:r>
      <w:proofErr w:type="spellStart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Армянская, 25, вид НТО – арбузная клетка по реализации бахчевых культур, площадью 12 </w:t>
      </w:r>
      <w:proofErr w:type="spellStart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период. </w:t>
      </w:r>
    </w:p>
    <w:p w:rsidR="004120F5" w:rsidRPr="004120F5" w:rsidRDefault="004120F5" w:rsidP="004120F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120F5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№31:</w:t>
      </w:r>
      <w:r w:rsidRPr="004120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А.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Кесаева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3, вид НТО – арбузная клетка по реализации бахчевых культур, площадью 12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 </w:t>
      </w:r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№42:</w:t>
      </w: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Весенняя/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Цоколаева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Начальная цена Лота составляет 18585 руб. за указанный период. Размер задатка 5575 руб.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№59:</w:t>
      </w: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М. Горького/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Шегрена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№62:</w:t>
      </w: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Дзарахохова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5,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№64:</w:t>
      </w: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Зортова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ул. Титова,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Начальная цена Лота составляет 926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8 руб. за указанный период. 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zh-CN"/>
        </w:rPr>
        <w:t>Лот №70:</w:t>
      </w: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Леваневского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Гугкаева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18585 руб. за указанный период. </w:t>
      </w:r>
    </w:p>
    <w:p w:rsidR="004120F5" w:rsidRPr="00B071C6" w:rsidRDefault="004120F5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</w:p>
    <w:p w:rsidR="00AA6875" w:rsidRPr="00B071C6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Время начала аукциона: 11 часов 00 мин.</w:t>
      </w:r>
    </w:p>
    <w:p w:rsidR="00AA6875" w:rsidRPr="00B071C6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Время окончания аукциона: 12 часов 55 мин.</w:t>
      </w:r>
    </w:p>
    <w:p w:rsidR="00AA6875" w:rsidRPr="00B071C6" w:rsidRDefault="00AA6875" w:rsidP="00AA687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проведения открытого аукциона: РСО-Алания, г. Владикавказ, пл. Штыба, 2, здание Админист</w:t>
      </w:r>
      <w:r w:rsidR="00F209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рации местного самоуправления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Владикавказа, 3 этаж, 308 кабинет.</w:t>
      </w:r>
    </w:p>
    <w:p w:rsidR="00AA6875" w:rsidRPr="00B071C6" w:rsidRDefault="00AA6875" w:rsidP="00AA687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Извещение о проведении настоящего аукциона было опубликовано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газете «Владикавказ» </w:t>
      </w:r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43 от 21.04.2017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 xml:space="preserve">размещено на официальном сайте АМС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val="en-US" w:eastAsia="ru-RU"/>
        </w:rPr>
        <w:t>www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.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val="en-US" w:eastAsia="ru-RU"/>
        </w:rPr>
        <w:t>vladikavkaz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 w:eastAsia="ru-RU"/>
        </w:rPr>
        <w:t>osetia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.</w:t>
      </w:r>
      <w:proofErr w:type="spellStart"/>
      <w:r w:rsidRPr="00B071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 w:eastAsia="ru-RU"/>
        </w:rPr>
        <w:t>ru</w:t>
      </w:r>
      <w:proofErr w:type="spellEnd"/>
      <w:r w:rsidRPr="00B071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B071C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На процедуре аукциона присутствовали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Члены комиссии:</w:t>
      </w:r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Шаталов Михаил Михайлович</w:t>
      </w:r>
    </w:p>
    <w:p w:rsidR="00AA6875" w:rsidRPr="00A0460C" w:rsidRDefault="00AA6875" w:rsidP="00AA68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AA6875" w:rsidRPr="00A0460C" w:rsidRDefault="00AA6875" w:rsidP="00AA68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A04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AA6875" w:rsidRPr="00A0460C" w:rsidRDefault="00AA6875" w:rsidP="00AA687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A0460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Етдзаева Лаура Руслановна</w:t>
      </w:r>
    </w:p>
    <w:p w:rsidR="00AA6875" w:rsidRPr="00B071C6" w:rsidRDefault="00AA6875" w:rsidP="00AA68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D77C2B" w:rsidRPr="00D77C2B" w:rsidRDefault="00D77C2B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77C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№10: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ул. Генерала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Дзусова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gram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19,  вид</w:t>
      </w:r>
      <w:proofErr w:type="gram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НТО – арбузная клетка по реализации бахчевых культур, площадью 12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Период размещения - с 20.06.2017 по 20.10.2017. Начальная цена Лота составляет 9268 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B071C6" w:rsidTr="001B2180">
        <w:trPr>
          <w:trHeight w:val="841"/>
        </w:trPr>
        <w:tc>
          <w:tcPr>
            <w:tcW w:w="948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B071C6" w:rsidTr="001B2180">
        <w:tc>
          <w:tcPr>
            <w:tcW w:w="948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="00D77C2B">
              <w:rPr>
                <w:color w:val="000000" w:themeColor="text1"/>
                <w:spacing w:val="-3"/>
                <w:sz w:val="28"/>
                <w:szCs w:val="28"/>
              </w:rPr>
              <w:t>Дзампаева</w:t>
            </w:r>
            <w:proofErr w:type="spellEnd"/>
            <w:r w:rsidR="00D77C2B">
              <w:rPr>
                <w:color w:val="000000" w:themeColor="text1"/>
                <w:spacing w:val="-3"/>
                <w:sz w:val="28"/>
                <w:szCs w:val="28"/>
              </w:rPr>
              <w:t xml:space="preserve"> М. Б.</w:t>
            </w:r>
          </w:p>
          <w:p w:rsidR="00AA6875" w:rsidRPr="00B071C6" w:rsidRDefault="00AA6875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B071C6" w:rsidTr="001B2180">
        <w:trPr>
          <w:trHeight w:val="674"/>
        </w:trPr>
        <w:tc>
          <w:tcPr>
            <w:tcW w:w="948" w:type="dxa"/>
          </w:tcPr>
          <w:p w:rsidR="00AA6875" w:rsidRPr="00B071C6" w:rsidRDefault="00AA6875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AA6875" w:rsidRPr="00B071C6" w:rsidRDefault="00AA6875" w:rsidP="00D77C2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B071C6">
              <w:rPr>
                <w:color w:val="000000" w:themeColor="text1"/>
                <w:sz w:val="28"/>
                <w:szCs w:val="28"/>
              </w:rPr>
              <w:t xml:space="preserve">ИП  </w:t>
            </w:r>
            <w:proofErr w:type="spellStart"/>
            <w:r w:rsidR="00D77C2B">
              <w:rPr>
                <w:color w:val="000000" w:themeColor="text1"/>
                <w:sz w:val="28"/>
                <w:szCs w:val="28"/>
              </w:rPr>
              <w:t>Зангиев</w:t>
            </w:r>
            <w:proofErr w:type="spellEnd"/>
            <w:proofErr w:type="gramEnd"/>
            <w:r w:rsidR="00D77C2B">
              <w:rPr>
                <w:color w:val="000000" w:themeColor="text1"/>
                <w:sz w:val="28"/>
                <w:szCs w:val="28"/>
              </w:rPr>
              <w:t xml:space="preserve"> А. А.</w:t>
            </w:r>
          </w:p>
        </w:tc>
        <w:tc>
          <w:tcPr>
            <w:tcW w:w="6120" w:type="dxa"/>
          </w:tcPr>
          <w:p w:rsidR="00AA6875" w:rsidRPr="00B071C6" w:rsidRDefault="00AA6875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AA6875" w:rsidRPr="00B071C6" w:rsidRDefault="00AA6875" w:rsidP="00AA68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A6875" w:rsidRPr="00B071C6" w:rsidRDefault="00AA6875" w:rsidP="00AA68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D77C2B" w:rsidRPr="00D77C2B" w:rsidRDefault="00D77C2B" w:rsidP="00D77C2B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№10 -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ИП </w:t>
      </w:r>
      <w:proofErr w:type="spellStart"/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Дзампаев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у</w:t>
      </w:r>
      <w:proofErr w:type="spellEnd"/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М. Б., </w:t>
      </w: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–9268 руб., т.к. участник под регистрационным №2- </w:t>
      </w:r>
      <w:r w:rsidRPr="00D77C2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proofErr w:type="spellStart"/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Зангиев</w:t>
      </w:r>
      <w:proofErr w:type="spellEnd"/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А.А., 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>отказался от участия в аукционе.</w:t>
      </w:r>
    </w:p>
    <w:p w:rsidR="00D77C2B" w:rsidRPr="00D77C2B" w:rsidRDefault="00D77C2B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77C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№21: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Гизельское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шоссе, 20 «а», вид НТО – арбузная клетка по реализации бахчевых культур, площадью 12 </w:t>
      </w:r>
      <w:proofErr w:type="spellStart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Период размещения - с 20.06.2017 по 20.10.2017.</w:t>
      </w:r>
    </w:p>
    <w:p w:rsidR="00D77C2B" w:rsidRDefault="00D77C2B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77C2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Начальная цена Лота составляет 9268 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470D34" w:rsidRPr="00B071C6" w:rsidTr="00A30772">
        <w:trPr>
          <w:trHeight w:val="841"/>
        </w:trPr>
        <w:tc>
          <w:tcPr>
            <w:tcW w:w="948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470D34" w:rsidRPr="00B071C6" w:rsidTr="00A30772">
        <w:tc>
          <w:tcPr>
            <w:tcW w:w="948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="004120F5">
              <w:rPr>
                <w:color w:val="000000" w:themeColor="text1"/>
                <w:spacing w:val="-3"/>
                <w:sz w:val="28"/>
                <w:szCs w:val="28"/>
              </w:rPr>
              <w:t>Казиев</w:t>
            </w:r>
            <w:proofErr w:type="spellEnd"/>
            <w:r w:rsidR="004120F5">
              <w:rPr>
                <w:color w:val="000000" w:themeColor="text1"/>
                <w:spacing w:val="-3"/>
                <w:sz w:val="28"/>
                <w:szCs w:val="28"/>
              </w:rPr>
              <w:t xml:space="preserve"> А.Б.</w:t>
            </w:r>
          </w:p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470D34" w:rsidRPr="00B071C6" w:rsidTr="00A30772">
        <w:trPr>
          <w:trHeight w:val="674"/>
        </w:trPr>
        <w:tc>
          <w:tcPr>
            <w:tcW w:w="948" w:type="dxa"/>
          </w:tcPr>
          <w:p w:rsidR="00470D34" w:rsidRPr="00B071C6" w:rsidRDefault="00470D34" w:rsidP="00A3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470D34" w:rsidRPr="00B071C6" w:rsidRDefault="004120F5" w:rsidP="004120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Чехоев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К.З.</w:t>
            </w: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470D34" w:rsidRDefault="00470D34" w:rsidP="00D77C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120F5" w:rsidRPr="00B071C6" w:rsidRDefault="004120F5" w:rsidP="004120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4120F5" w:rsidRPr="00D77C2B" w:rsidRDefault="004120F5" w:rsidP="004120F5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Казиева</w:t>
      </w:r>
      <w:proofErr w:type="spellEnd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А.Б.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–9268 руб., т.к. участник под регистрационным №2- </w:t>
      </w:r>
      <w:r w:rsidRPr="00D77C2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Чехоев</w:t>
      </w:r>
      <w:proofErr w:type="spellEnd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К.З.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>отказался от участия в аукционе.</w:t>
      </w:r>
    </w:p>
    <w:p w:rsidR="00470D34" w:rsidRPr="00470D34" w:rsidRDefault="00470D34" w:rsidP="00470D3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70D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Лот №29: </w:t>
      </w:r>
      <w:proofErr w:type="spellStart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Армянская, 25, вид НТО – арбузная клетка по реализации бахчевых культур, площадью 12 </w:t>
      </w:r>
      <w:proofErr w:type="spellStart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470D34" w:rsidRPr="00D77C2B" w:rsidRDefault="00470D34" w:rsidP="00470D3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70D34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470D34" w:rsidRPr="00B071C6" w:rsidTr="00A30772">
        <w:trPr>
          <w:trHeight w:val="841"/>
        </w:trPr>
        <w:tc>
          <w:tcPr>
            <w:tcW w:w="948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470D34" w:rsidRPr="00B071C6" w:rsidTr="00A30772">
        <w:tc>
          <w:tcPr>
            <w:tcW w:w="948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>
              <w:rPr>
                <w:color w:val="000000" w:themeColor="text1"/>
                <w:spacing w:val="-3"/>
                <w:sz w:val="28"/>
                <w:szCs w:val="28"/>
              </w:rPr>
              <w:t>Вердиев</w:t>
            </w:r>
            <w:proofErr w:type="spellEnd"/>
            <w:r>
              <w:rPr>
                <w:color w:val="000000" w:themeColor="text1"/>
                <w:spacing w:val="-3"/>
                <w:sz w:val="28"/>
                <w:szCs w:val="28"/>
              </w:rPr>
              <w:t xml:space="preserve"> А.Э.</w:t>
            </w:r>
          </w:p>
          <w:p w:rsidR="00470D34" w:rsidRPr="00B071C6" w:rsidRDefault="00470D34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470D34" w:rsidRPr="00B071C6" w:rsidTr="00A30772">
        <w:trPr>
          <w:trHeight w:val="674"/>
        </w:trPr>
        <w:tc>
          <w:tcPr>
            <w:tcW w:w="948" w:type="dxa"/>
          </w:tcPr>
          <w:p w:rsidR="00470D34" w:rsidRPr="00B071C6" w:rsidRDefault="00470D34" w:rsidP="00A3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6844" w:type="dxa"/>
          </w:tcPr>
          <w:p w:rsidR="00470D34" w:rsidRPr="00B071C6" w:rsidRDefault="00470D34" w:rsidP="00470D3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B071C6">
              <w:rPr>
                <w:color w:val="000000" w:themeColor="text1"/>
                <w:sz w:val="28"/>
                <w:szCs w:val="28"/>
              </w:rPr>
              <w:t xml:space="preserve">ИП 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Дзагахов</w:t>
            </w:r>
            <w:proofErr w:type="spellEnd"/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 В.В.</w:t>
            </w:r>
          </w:p>
        </w:tc>
        <w:tc>
          <w:tcPr>
            <w:tcW w:w="6120" w:type="dxa"/>
          </w:tcPr>
          <w:p w:rsidR="00470D34" w:rsidRPr="00B071C6" w:rsidRDefault="00470D34" w:rsidP="00A3077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470D34" w:rsidRPr="00B071C6" w:rsidRDefault="00470D34" w:rsidP="00470D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70D34" w:rsidRPr="00B071C6" w:rsidRDefault="00470D34" w:rsidP="00470D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71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470D34" w:rsidRPr="00D77C2B" w:rsidRDefault="00470D34" w:rsidP="00CF7872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</w:t>
      </w:r>
      <w:r w:rsidR="004120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ИП </w:t>
      </w:r>
      <w:proofErr w:type="spellStart"/>
      <w:r w:rsidR="004120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Дзагахова</w:t>
      </w:r>
      <w:proofErr w:type="spellEnd"/>
      <w:r w:rsidR="004120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В.В.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D77C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–9268 руб., т.к. участник под регистрационным №2- </w:t>
      </w:r>
      <w:r w:rsidRPr="00D77C2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proofErr w:type="spellStart"/>
      <w:r w:rsidR="004120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Вердиев</w:t>
      </w:r>
      <w:proofErr w:type="spellEnd"/>
      <w:r w:rsidR="004120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А.Э.</w:t>
      </w:r>
      <w:r w:rsidRPr="00D77C2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D77C2B">
        <w:rPr>
          <w:rFonts w:ascii="Times New Roman" w:hAnsi="Times New Roman" w:cs="Times New Roman"/>
          <w:color w:val="000000" w:themeColor="text1"/>
          <w:sz w:val="28"/>
          <w:szCs w:val="28"/>
        </w:rPr>
        <w:t>отказался от участия в аукционе.</w:t>
      </w:r>
    </w:p>
    <w:p w:rsidR="00AA6875" w:rsidRPr="00F20925" w:rsidRDefault="004120F5" w:rsidP="00CF787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4120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Лот №31: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А.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Кесаева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3, вид НТО – арбузная клетка по реализации бахчевых культур, площадью 12 </w:t>
      </w:r>
      <w:proofErr w:type="spellStart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4120F5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9268 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B071C6" w:rsidTr="001B2180">
        <w:trPr>
          <w:trHeight w:val="841"/>
        </w:trPr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B071C6" w:rsidTr="001B2180">
        <w:tc>
          <w:tcPr>
            <w:tcW w:w="948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 w:rsidR="004120F5">
              <w:rPr>
                <w:color w:val="000000" w:themeColor="text1"/>
                <w:spacing w:val="-3"/>
                <w:sz w:val="28"/>
                <w:szCs w:val="28"/>
              </w:rPr>
              <w:t>Дзампаева</w:t>
            </w:r>
            <w:proofErr w:type="spellEnd"/>
            <w:r w:rsidR="004120F5">
              <w:rPr>
                <w:color w:val="000000" w:themeColor="text1"/>
                <w:spacing w:val="-3"/>
                <w:sz w:val="28"/>
                <w:szCs w:val="28"/>
              </w:rPr>
              <w:t xml:space="preserve"> М.Б.</w:t>
            </w:r>
          </w:p>
          <w:p w:rsidR="008A0A84" w:rsidRPr="00B071C6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B071C6" w:rsidTr="001B2180">
        <w:trPr>
          <w:trHeight w:val="674"/>
        </w:trPr>
        <w:tc>
          <w:tcPr>
            <w:tcW w:w="948" w:type="dxa"/>
          </w:tcPr>
          <w:p w:rsidR="008A0A84" w:rsidRPr="00B071C6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071C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4120F5" w:rsidRPr="00B071C6" w:rsidRDefault="004120F5" w:rsidP="004120F5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r>
              <w:rPr>
                <w:color w:val="000000" w:themeColor="text1"/>
                <w:spacing w:val="-3"/>
                <w:sz w:val="28"/>
                <w:szCs w:val="28"/>
              </w:rPr>
              <w:t>Цахилов</w:t>
            </w:r>
            <w:proofErr w:type="spellEnd"/>
            <w:r>
              <w:rPr>
                <w:color w:val="000000" w:themeColor="text1"/>
                <w:spacing w:val="-3"/>
                <w:sz w:val="28"/>
                <w:szCs w:val="28"/>
              </w:rPr>
              <w:t xml:space="preserve"> Э.Е.</w:t>
            </w:r>
            <w:bookmarkStart w:id="0" w:name="_GoBack"/>
            <w:bookmarkEnd w:id="0"/>
          </w:p>
          <w:p w:rsidR="008A0A84" w:rsidRPr="00B071C6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0" w:type="dxa"/>
          </w:tcPr>
          <w:p w:rsidR="008A0A84" w:rsidRPr="00B071C6" w:rsidRDefault="008A0A84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B071C6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B071C6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F24A6F" w:rsidRDefault="008A0A84" w:rsidP="008A0A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8A0A84" w:rsidRPr="00F24A6F" w:rsidRDefault="008A0A84" w:rsidP="00CF7872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</w:t>
      </w:r>
      <w:r w:rsidR="004120F5"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F24A6F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ИП </w:t>
      </w:r>
      <w:proofErr w:type="spellStart"/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Цахилова</w:t>
      </w:r>
      <w:proofErr w:type="spellEnd"/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Э.Е. 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</w:t>
      </w:r>
      <w:r w:rsidR="004120F5"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25268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8A0A84" w:rsidRPr="00F24A6F" w:rsidRDefault="008A0A84" w:rsidP="00CF7872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предпоследнее предложение о цене договора поступило от</w:t>
      </w:r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ИП </w:t>
      </w:r>
      <w:proofErr w:type="spellStart"/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Дзампаевой</w:t>
      </w:r>
      <w:proofErr w:type="spellEnd"/>
      <w:r w:rsidR="004120F5"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М.Б.</w:t>
      </w:r>
      <w:r w:rsidRPr="00F24A6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составило – </w:t>
      </w:r>
      <w:r w:rsidR="004120F5"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24768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</w:p>
    <w:p w:rsidR="00F24A6F" w:rsidRPr="00F24A6F" w:rsidRDefault="00F24A6F" w:rsidP="00F24A6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№42: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ул. Весенняя/ ул.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Цоколаева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Период размещения - с 20.06.2017 по 20.10.2017. Начальная цена Лота составляет 18585 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B071C6" w:rsidRPr="00F24A6F" w:rsidTr="001B2180">
        <w:trPr>
          <w:trHeight w:val="841"/>
        </w:trPr>
        <w:tc>
          <w:tcPr>
            <w:tcW w:w="948" w:type="dxa"/>
          </w:tcPr>
          <w:p w:rsidR="008A0A84" w:rsidRPr="00F24A6F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8A0A84" w:rsidRPr="00F24A6F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A0A84" w:rsidRPr="00F24A6F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8A0A84" w:rsidRPr="00F24A6F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B071C6" w:rsidRPr="00F24A6F" w:rsidTr="001B2180">
        <w:tc>
          <w:tcPr>
            <w:tcW w:w="948" w:type="dxa"/>
          </w:tcPr>
          <w:p w:rsidR="008A0A84" w:rsidRPr="00F24A6F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8A0A84" w:rsidRPr="00F24A6F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r w:rsidR="00F24A6F">
              <w:rPr>
                <w:color w:val="000000" w:themeColor="text1"/>
                <w:spacing w:val="-3"/>
                <w:sz w:val="28"/>
                <w:szCs w:val="28"/>
              </w:rPr>
              <w:t>Качмазов И.Р.</w:t>
            </w:r>
          </w:p>
          <w:p w:rsidR="008A0A84" w:rsidRPr="00F24A6F" w:rsidRDefault="008A0A84" w:rsidP="001B2180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8A0A84" w:rsidRPr="00F24A6F" w:rsidRDefault="008A0A84" w:rsidP="001B2180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B071C6" w:rsidRPr="00F24A6F" w:rsidTr="001B2180">
        <w:trPr>
          <w:trHeight w:val="674"/>
        </w:trPr>
        <w:tc>
          <w:tcPr>
            <w:tcW w:w="948" w:type="dxa"/>
          </w:tcPr>
          <w:p w:rsidR="008A0A84" w:rsidRPr="00F24A6F" w:rsidRDefault="008A0A84" w:rsidP="001B21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F24A6F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8A0A84" w:rsidRPr="00F24A6F" w:rsidRDefault="00EC68D8" w:rsidP="00F24A6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F24A6F">
              <w:rPr>
                <w:color w:val="000000" w:themeColor="text1"/>
                <w:sz w:val="28"/>
                <w:szCs w:val="28"/>
              </w:rPr>
              <w:t xml:space="preserve">ИП </w:t>
            </w:r>
            <w:r w:rsidR="00F24A6F">
              <w:rPr>
                <w:color w:val="000000" w:themeColor="text1"/>
                <w:sz w:val="28"/>
                <w:szCs w:val="28"/>
              </w:rPr>
              <w:t>Джафаров Р.Т.</w:t>
            </w:r>
          </w:p>
        </w:tc>
        <w:tc>
          <w:tcPr>
            <w:tcW w:w="6120" w:type="dxa"/>
          </w:tcPr>
          <w:p w:rsidR="008A0A84" w:rsidRPr="00F24A6F" w:rsidRDefault="008A0A84" w:rsidP="001B2180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F24A6F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8A0A84" w:rsidRPr="00F24A6F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F24A6F" w:rsidRDefault="008A0A84" w:rsidP="008A0A84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0A84" w:rsidRPr="00F24A6F" w:rsidRDefault="00EC68D8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EC68D8" w:rsidRPr="00F24A6F" w:rsidRDefault="00EC68D8" w:rsidP="00EC68D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признать победителем аукциона по лоту №</w:t>
      </w:r>
      <w:r w:rsid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F24A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r w:rsidR="00F24A6F">
        <w:rPr>
          <w:rFonts w:ascii="Times New Roman" w:hAnsi="Times New Roman" w:cs="Times New Roman"/>
          <w:color w:val="000000" w:themeColor="text1"/>
          <w:sz w:val="28"/>
          <w:szCs w:val="28"/>
        </w:rPr>
        <w:t>Качмазова И.Р.</w:t>
      </w:r>
      <w:r w:rsidRPr="00F24A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</w:t>
      </w:r>
      <w:r w:rsid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18585</w:t>
      </w:r>
      <w:r w:rsidRPr="00F24A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руб., т.к. участник под регистрационным №1- </w:t>
      </w:r>
      <w:r w:rsidRPr="00F24A6F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ИП </w:t>
      </w:r>
      <w:r w:rsid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Джафаров Р.Т.</w:t>
      </w:r>
      <w:r w:rsidRPr="00F24A6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F24A6F">
        <w:rPr>
          <w:rFonts w:ascii="Times New Roman" w:hAnsi="Times New Roman" w:cs="Times New Roman"/>
          <w:color w:val="000000" w:themeColor="text1"/>
          <w:sz w:val="28"/>
          <w:szCs w:val="28"/>
        </w:rPr>
        <w:t>отказался от участия в аукционе.</w:t>
      </w:r>
    </w:p>
    <w:p w:rsidR="00F24A6F" w:rsidRPr="00F24A6F" w:rsidRDefault="00F24A6F" w:rsidP="00F24A6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24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№59: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ул. М. Горького/ ул.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Шегрена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Период размещения - с 20.06.2017 по 20.10.2017.</w:t>
      </w:r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F24A6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Начальная цена Лота составляет 9268 руб. за указанный период. </w:t>
      </w:r>
    </w:p>
    <w:p w:rsidR="00CF6C27" w:rsidRPr="00A478CB" w:rsidRDefault="00CF6C27" w:rsidP="00CF6C27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№59 -</w:t>
      </w:r>
      <w:r w:rsidRPr="00A478C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ИП </w:t>
      </w:r>
      <w:proofErr w:type="spellStart"/>
      <w:r w:rsidR="00801099"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Гамзаев</w:t>
      </w:r>
      <w:proofErr w:type="spellEnd"/>
      <w:r w:rsidR="00801099"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Б.А.</w:t>
      </w:r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</w:t>
      </w:r>
      <w:r w:rsidR="00801099"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9268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руб., т.к. других участников на участие в аукционе зарегистрировано не было.</w:t>
      </w:r>
    </w:p>
    <w:p w:rsidR="00801099" w:rsidRPr="00801099" w:rsidRDefault="00801099" w:rsidP="0080109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010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№62: </w:t>
      </w:r>
      <w:proofErr w:type="spellStart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ул. </w:t>
      </w:r>
      <w:proofErr w:type="spellStart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Дзарахохова</w:t>
      </w:r>
      <w:proofErr w:type="spellEnd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5, вид НТО – арбузная клетка по реализации бахчевых культур, площадью 12 </w:t>
      </w:r>
      <w:proofErr w:type="spellStart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Период размещения - с 20.06.2017 по 20.10.2017.</w:t>
      </w:r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8010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Начальная цена Лота составляет 9268 руб. за указанный период. </w:t>
      </w:r>
    </w:p>
    <w:tbl>
      <w:tblPr>
        <w:tblStyle w:val="a3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801099" w:rsidRPr="00A478CB" w:rsidTr="00A30772">
        <w:trPr>
          <w:trHeight w:val="841"/>
        </w:trPr>
        <w:tc>
          <w:tcPr>
            <w:tcW w:w="948" w:type="dxa"/>
          </w:tcPr>
          <w:p w:rsidR="00801099" w:rsidRPr="00A478CB" w:rsidRDefault="00801099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№ п/п</w:t>
            </w:r>
          </w:p>
        </w:tc>
        <w:tc>
          <w:tcPr>
            <w:tcW w:w="6844" w:type="dxa"/>
          </w:tcPr>
          <w:p w:rsidR="00801099" w:rsidRPr="00A478CB" w:rsidRDefault="00801099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Наименование (для юридического 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01099" w:rsidRPr="00A478CB" w:rsidRDefault="00801099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Регистрационный номер участника</w:t>
            </w:r>
          </w:p>
          <w:p w:rsidR="00801099" w:rsidRPr="00A478CB" w:rsidRDefault="00801099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</w:tr>
      <w:tr w:rsidR="00801099" w:rsidRPr="00A478CB" w:rsidTr="00A30772">
        <w:tc>
          <w:tcPr>
            <w:tcW w:w="948" w:type="dxa"/>
          </w:tcPr>
          <w:p w:rsidR="00801099" w:rsidRPr="00A478CB" w:rsidRDefault="00801099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1.</w:t>
            </w:r>
          </w:p>
        </w:tc>
        <w:tc>
          <w:tcPr>
            <w:tcW w:w="6844" w:type="dxa"/>
          </w:tcPr>
          <w:p w:rsidR="00801099" w:rsidRPr="00A478CB" w:rsidRDefault="00801099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 xml:space="preserve">ИП </w:t>
            </w:r>
            <w:proofErr w:type="spellStart"/>
            <w:proofErr w:type="gramStart"/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Гасымов</w:t>
            </w:r>
            <w:proofErr w:type="spellEnd"/>
            <w:r w:rsidRPr="00A478CB">
              <w:rPr>
                <w:color w:val="000000" w:themeColor="text1"/>
                <w:spacing w:val="-3"/>
                <w:sz w:val="28"/>
                <w:szCs w:val="28"/>
              </w:rPr>
              <w:t xml:space="preserve">  Э.З.</w:t>
            </w:r>
            <w:proofErr w:type="gramEnd"/>
          </w:p>
          <w:p w:rsidR="00801099" w:rsidRPr="00A478CB" w:rsidRDefault="00801099" w:rsidP="00A30772">
            <w:pPr>
              <w:keepNext/>
              <w:jc w:val="both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</w:p>
        </w:tc>
        <w:tc>
          <w:tcPr>
            <w:tcW w:w="6120" w:type="dxa"/>
          </w:tcPr>
          <w:p w:rsidR="00801099" w:rsidRPr="00A478CB" w:rsidRDefault="00801099" w:rsidP="00A30772">
            <w:pPr>
              <w:keepNext/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№1</w:t>
            </w:r>
          </w:p>
        </w:tc>
      </w:tr>
      <w:tr w:rsidR="00801099" w:rsidRPr="00A478CB" w:rsidTr="00A30772">
        <w:trPr>
          <w:trHeight w:val="674"/>
        </w:trPr>
        <w:tc>
          <w:tcPr>
            <w:tcW w:w="948" w:type="dxa"/>
          </w:tcPr>
          <w:p w:rsidR="00801099" w:rsidRPr="00A478CB" w:rsidRDefault="00801099" w:rsidP="00A3077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A478CB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844" w:type="dxa"/>
          </w:tcPr>
          <w:p w:rsidR="00801099" w:rsidRPr="00A478CB" w:rsidRDefault="00801099" w:rsidP="0080109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A478CB">
              <w:rPr>
                <w:color w:val="000000" w:themeColor="text1"/>
                <w:sz w:val="28"/>
                <w:szCs w:val="28"/>
              </w:rPr>
              <w:t xml:space="preserve">ИП </w:t>
            </w:r>
            <w:proofErr w:type="spellStart"/>
            <w:r w:rsidRPr="00A478CB">
              <w:rPr>
                <w:color w:val="000000" w:themeColor="text1"/>
                <w:sz w:val="28"/>
                <w:szCs w:val="28"/>
              </w:rPr>
              <w:t>Цоков</w:t>
            </w:r>
            <w:proofErr w:type="spellEnd"/>
            <w:r w:rsidRPr="00A478CB">
              <w:rPr>
                <w:color w:val="000000" w:themeColor="text1"/>
                <w:sz w:val="28"/>
                <w:szCs w:val="28"/>
              </w:rPr>
              <w:t xml:space="preserve"> Ц.В.</w:t>
            </w:r>
          </w:p>
        </w:tc>
        <w:tc>
          <w:tcPr>
            <w:tcW w:w="6120" w:type="dxa"/>
          </w:tcPr>
          <w:p w:rsidR="00801099" w:rsidRPr="00A478CB" w:rsidRDefault="00801099" w:rsidP="00A3077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 w:themeColor="text1"/>
                <w:spacing w:val="-3"/>
                <w:sz w:val="28"/>
                <w:szCs w:val="28"/>
              </w:rPr>
            </w:pPr>
            <w:r w:rsidRPr="00A478CB">
              <w:rPr>
                <w:color w:val="000000" w:themeColor="text1"/>
                <w:spacing w:val="-3"/>
                <w:sz w:val="28"/>
                <w:szCs w:val="28"/>
              </w:rPr>
              <w:t>№2</w:t>
            </w:r>
          </w:p>
        </w:tc>
      </w:tr>
    </w:tbl>
    <w:p w:rsidR="00801099" w:rsidRPr="00A478CB" w:rsidRDefault="00801099" w:rsidP="00801099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1099" w:rsidRPr="00A478CB" w:rsidRDefault="00801099" w:rsidP="00801099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1099" w:rsidRPr="00A478CB" w:rsidRDefault="00801099" w:rsidP="00801099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1099" w:rsidRPr="00A478CB" w:rsidRDefault="00801099" w:rsidP="00801099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1099" w:rsidRPr="00A478CB" w:rsidRDefault="00801099" w:rsidP="00801099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Аукционная комиссия приняла решение:</w:t>
      </w:r>
    </w:p>
    <w:p w:rsidR="00801099" w:rsidRPr="00A478CB" w:rsidRDefault="00801099" w:rsidP="0080109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№62 -</w:t>
      </w:r>
      <w:r w:rsidRPr="00A47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 w:rsidRPr="00A478CB">
        <w:rPr>
          <w:rFonts w:ascii="Times New Roman" w:hAnsi="Times New Roman" w:cs="Times New Roman"/>
          <w:color w:val="000000" w:themeColor="text1"/>
          <w:sz w:val="28"/>
          <w:szCs w:val="28"/>
        </w:rPr>
        <w:t>Гасымова</w:t>
      </w:r>
      <w:proofErr w:type="spellEnd"/>
      <w:r w:rsidRPr="00A47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Э.З.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ценой договора 21268 руб., </w:t>
      </w:r>
    </w:p>
    <w:p w:rsidR="00801099" w:rsidRPr="00A478CB" w:rsidRDefault="00A478CB" w:rsidP="00A478CB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предпоследнее предложение о цене договора поступило от</w:t>
      </w:r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ИП </w:t>
      </w:r>
      <w:proofErr w:type="spellStart"/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Цокова</w:t>
      </w:r>
      <w:proofErr w:type="spellEnd"/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Ц.В.</w:t>
      </w:r>
      <w:r w:rsidRPr="00A478C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составило – 20268 руб.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Лот №64: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Зортова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/ ул. Титова,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Период размещения - с 20.06.2017 по 20.10.2017.</w:t>
      </w:r>
    </w:p>
    <w:p w:rsidR="00A478CB" w:rsidRPr="00A478CB" w:rsidRDefault="00A478CB" w:rsidP="00A478CB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признать победителем аукциона по лоту №64 -</w:t>
      </w:r>
      <w:r w:rsidRPr="00A478C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ИП </w:t>
      </w:r>
      <w:proofErr w:type="spellStart"/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Вердиева</w:t>
      </w:r>
      <w:proofErr w:type="spellEnd"/>
      <w:r w:rsidRPr="00A478CB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А.Э.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–9268 руб., т.к. других участников на участие в аукционе зарегистрировано не было.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Лот №70: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Леваневского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/ ул.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Гугкаева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вид НТО – арбузная клетка по реализации бахчевых культур, площадью 12 </w:t>
      </w:r>
      <w:proofErr w:type="spellStart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20.06.2017 по 20.10.2017.</w:t>
      </w:r>
    </w:p>
    <w:p w:rsidR="00A478CB" w:rsidRPr="00A478CB" w:rsidRDefault="00A478CB" w:rsidP="00A478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A478C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Начальная цена Лота составляет 18585 руб. за указанный период. Размер задатка 5575 руб.</w:t>
      </w:r>
    </w:p>
    <w:p w:rsidR="00A478CB" w:rsidRPr="00A478CB" w:rsidRDefault="00A478CB" w:rsidP="00A478CB">
      <w:pPr>
        <w:keepNext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признать победителем аукциона по лоту №64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A478C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ИП</w:t>
      </w:r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Чехоева</w:t>
      </w:r>
      <w:proofErr w:type="spellEnd"/>
      <w:r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К.В.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ценой договора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18585 </w:t>
      </w:r>
      <w:r w:rsidRPr="00A47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руб., т.к. других участников на участие в аукционе зарегистрировано не было.</w:t>
      </w:r>
    </w:p>
    <w:p w:rsidR="008A0A84" w:rsidRPr="00F24A6F" w:rsidRDefault="008A0A84" w:rsidP="008A0A84">
      <w:pPr>
        <w:pStyle w:val="a4"/>
        <w:spacing w:after="0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1160" w:type="dxa"/>
        <w:tblInd w:w="108" w:type="dxa"/>
        <w:tblLook w:val="01E0" w:firstRow="1" w:lastRow="1" w:firstColumn="1" w:lastColumn="1" w:noHBand="0" w:noVBand="0"/>
      </w:tblPr>
      <w:tblGrid>
        <w:gridCol w:w="4726"/>
        <w:gridCol w:w="6434"/>
      </w:tblGrid>
      <w:tr w:rsidR="00B071C6" w:rsidRPr="00F24A6F" w:rsidTr="001B2180">
        <w:trPr>
          <w:cantSplit/>
          <w:trHeight w:val="687"/>
        </w:trPr>
        <w:tc>
          <w:tcPr>
            <w:tcW w:w="4726" w:type="dxa"/>
            <w:shd w:val="clear" w:color="auto" w:fill="auto"/>
          </w:tcPr>
          <w:p w:rsidR="00AA6875" w:rsidRPr="00F24A6F" w:rsidRDefault="00AA6875" w:rsidP="00AA68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Подписи членов аукционной комиссии:</w:t>
            </w:r>
          </w:p>
          <w:p w:rsidR="00AA6875" w:rsidRPr="00F24A6F" w:rsidRDefault="00AA6875" w:rsidP="00AA68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  <w:shd w:val="clear" w:color="auto" w:fill="auto"/>
          </w:tcPr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______________________________Шаталов М.М.</w:t>
            </w: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______________________________Березов А.В.</w:t>
            </w: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______________________________Абаев Т.А.</w:t>
            </w: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______________________________Етдзаева Л.Р.</w:t>
            </w: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24A6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  <w:p w:rsidR="00AA6875" w:rsidRPr="00F24A6F" w:rsidRDefault="00AA6875" w:rsidP="00AA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0" w:right="-288" w:hanging="85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AA6875" w:rsidRPr="00F24A6F" w:rsidRDefault="00AA6875" w:rsidP="00AA6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AA6875" w:rsidRPr="00A0460C" w:rsidRDefault="00AA6875" w:rsidP="00AA6875">
      <w:pPr>
        <w:rPr>
          <w:rFonts w:ascii="Times New Roman" w:hAnsi="Times New Roman" w:cs="Times New Roman"/>
          <w:sz w:val="28"/>
          <w:szCs w:val="28"/>
        </w:rPr>
      </w:pPr>
    </w:p>
    <w:p w:rsidR="006455A8" w:rsidRPr="00A0460C" w:rsidRDefault="006455A8">
      <w:pPr>
        <w:rPr>
          <w:rFonts w:ascii="Times New Roman" w:hAnsi="Times New Roman" w:cs="Times New Roman"/>
          <w:sz w:val="28"/>
          <w:szCs w:val="28"/>
        </w:rPr>
      </w:pPr>
    </w:p>
    <w:sectPr w:rsidR="006455A8" w:rsidRPr="00A0460C" w:rsidSect="00BF4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AB"/>
    <w:rsid w:val="000555FB"/>
    <w:rsid w:val="00287BFB"/>
    <w:rsid w:val="003A2565"/>
    <w:rsid w:val="004120F5"/>
    <w:rsid w:val="00470D34"/>
    <w:rsid w:val="006455A8"/>
    <w:rsid w:val="00687AF0"/>
    <w:rsid w:val="00801099"/>
    <w:rsid w:val="008A0A84"/>
    <w:rsid w:val="00A0460C"/>
    <w:rsid w:val="00A478CB"/>
    <w:rsid w:val="00AA6875"/>
    <w:rsid w:val="00B071C6"/>
    <w:rsid w:val="00B830E6"/>
    <w:rsid w:val="00C0017A"/>
    <w:rsid w:val="00C623C5"/>
    <w:rsid w:val="00C843AB"/>
    <w:rsid w:val="00CF6C27"/>
    <w:rsid w:val="00CF7872"/>
    <w:rsid w:val="00D45F2C"/>
    <w:rsid w:val="00D77C2B"/>
    <w:rsid w:val="00EC68D8"/>
    <w:rsid w:val="00F20925"/>
    <w:rsid w:val="00F2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84899-CC79-4A0E-B0F9-96A07489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6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AA687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A6875"/>
  </w:style>
  <w:style w:type="paragraph" w:styleId="a6">
    <w:name w:val="Balloon Text"/>
    <w:basedOn w:val="a"/>
    <w:link w:val="a7"/>
    <w:uiPriority w:val="99"/>
    <w:semiHidden/>
    <w:unhideWhenUsed/>
    <w:rsid w:val="00A0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4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7</cp:revision>
  <cp:lastPrinted>2017-06-13T13:03:00Z</cp:lastPrinted>
  <dcterms:created xsi:type="dcterms:W3CDTF">2017-06-05T13:51:00Z</dcterms:created>
  <dcterms:modified xsi:type="dcterms:W3CDTF">2017-06-14T11:08:00Z</dcterms:modified>
</cp:coreProperties>
</file>