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FB" w:rsidRPr="00A55330" w:rsidRDefault="00F327FB" w:rsidP="00B3564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0636C8" w:rsidRPr="00A55330" w:rsidRDefault="00F327FB" w:rsidP="00B3564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 конкурсной документации</w:t>
      </w:r>
      <w:r w:rsidR="0098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конкурса на право заключения концессионного соглашения в отношении имущества муниципального образования</w:t>
      </w:r>
    </w:p>
    <w:p w:rsidR="00F327FB" w:rsidRPr="00A55330" w:rsidRDefault="00F327FB" w:rsidP="00B3564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Владикавказ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 КОНЦЕССИОННО</w:t>
      </w:r>
      <w:r w:rsidR="000636C8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СОГЛАШЕНИ</w:t>
      </w:r>
      <w:r w:rsidR="000636C8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</w:p>
    <w:p w:rsidR="00F76EE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отношении имуще</w:t>
      </w:r>
      <w:r w:rsidR="009022C3" w:rsidRPr="00A55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ства муниципального образования </w:t>
      </w: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Владикавказ</w:t>
      </w:r>
    </w:p>
    <w:p w:rsidR="00296417" w:rsidRPr="00A55330" w:rsidRDefault="00296417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Владикавказ</w:t>
      </w:r>
      <w:r w:rsidR="00B3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3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3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3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3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022C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98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 </w:t>
      </w:r>
      <w:proofErr w:type="gramStart"/>
      <w:r w:rsidR="0098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End"/>
      <w:r w:rsidR="0098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022C3" w:rsidRPr="00A55330" w:rsidRDefault="009022C3" w:rsidP="00B356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5C0D" w:rsidRPr="00A55330" w:rsidRDefault="00F327FB" w:rsidP="00B3564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hAnsi="Times New Roman" w:cs="Times New Roman"/>
          <w:sz w:val="24"/>
          <w:szCs w:val="24"/>
        </w:rPr>
        <w:t xml:space="preserve">Муниципальное образование город Владикавказ, от имени которого выступает администрация местного самоуправления </w:t>
      </w:r>
      <w:r w:rsidR="00296417" w:rsidRPr="00A5533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96417" w:rsidRPr="00A55330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296417" w:rsidRPr="00A55330">
        <w:rPr>
          <w:rFonts w:ascii="Times New Roman" w:hAnsi="Times New Roman" w:cs="Times New Roman"/>
          <w:sz w:val="24"/>
          <w:szCs w:val="24"/>
        </w:rPr>
        <w:t>ладикавказа</w:t>
      </w:r>
      <w:r w:rsidRPr="00A55330">
        <w:rPr>
          <w:rFonts w:ascii="Times New Roman" w:hAnsi="Times New Roman" w:cs="Times New Roman"/>
          <w:sz w:val="24"/>
          <w:szCs w:val="24"/>
        </w:rPr>
        <w:t>, действующая на основании Устава муниципального образования город Владикавказ (Дзауджикау)</w:t>
      </w:r>
      <w:r w:rsidR="008F4FB7" w:rsidRPr="00A55330">
        <w:rPr>
          <w:rFonts w:ascii="Times New Roman" w:hAnsi="Times New Roman" w:cs="Times New Roman"/>
          <w:sz w:val="24"/>
          <w:szCs w:val="24"/>
        </w:rPr>
        <w:t xml:space="preserve"> (далее по тексту - Устав)</w:t>
      </w:r>
      <w:r w:rsidR="009022C3" w:rsidRPr="00A55330">
        <w:rPr>
          <w:rFonts w:ascii="Times New Roman" w:hAnsi="Times New Roman" w:cs="Times New Roman"/>
          <w:sz w:val="24"/>
          <w:szCs w:val="24"/>
        </w:rPr>
        <w:t>,</w:t>
      </w:r>
      <w:r w:rsidRPr="00A55330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CD3F9B" w:rsidRPr="00A55330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9022C3" w:rsidRPr="00A5533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A55330">
        <w:rPr>
          <w:rFonts w:ascii="Times New Roman" w:hAnsi="Times New Roman" w:cs="Times New Roman"/>
          <w:sz w:val="24"/>
          <w:szCs w:val="24"/>
        </w:rPr>
        <w:t>Устава, именуем</w:t>
      </w:r>
      <w:r w:rsidR="009022C3" w:rsidRPr="00A55330">
        <w:rPr>
          <w:rFonts w:ascii="Times New Roman" w:hAnsi="Times New Roman" w:cs="Times New Roman"/>
          <w:sz w:val="24"/>
          <w:szCs w:val="24"/>
        </w:rPr>
        <w:t xml:space="preserve">ое </w:t>
      </w:r>
      <w:r w:rsidRPr="00A55330">
        <w:rPr>
          <w:rFonts w:ascii="Times New Roman" w:hAnsi="Times New Roman" w:cs="Times New Roman"/>
          <w:sz w:val="24"/>
          <w:szCs w:val="24"/>
        </w:rPr>
        <w:t>в дальнейшем</w:t>
      </w:r>
      <w:r w:rsidR="00425C0D" w:rsidRPr="00A55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4FB7" w:rsidRPr="00A55330">
        <w:rPr>
          <w:rFonts w:ascii="Times New Roman" w:hAnsi="Times New Roman" w:cs="Times New Roman"/>
          <w:sz w:val="24"/>
          <w:szCs w:val="24"/>
        </w:rPr>
        <w:t>к</w:t>
      </w:r>
      <w:r w:rsidR="009022C3" w:rsidRPr="00A55330">
        <w:rPr>
          <w:rFonts w:ascii="Times New Roman" w:hAnsi="Times New Roman" w:cs="Times New Roman"/>
          <w:sz w:val="24"/>
          <w:szCs w:val="24"/>
        </w:rPr>
        <w:t>онцедентом</w:t>
      </w:r>
      <w:proofErr w:type="spellEnd"/>
      <w:r w:rsidR="009022C3" w:rsidRPr="00A55330">
        <w:rPr>
          <w:rFonts w:ascii="Times New Roman" w:hAnsi="Times New Roman" w:cs="Times New Roman"/>
          <w:sz w:val="24"/>
          <w:szCs w:val="24"/>
        </w:rPr>
        <w:t>,</w:t>
      </w:r>
      <w:r w:rsidR="00425C0D" w:rsidRPr="00A55330">
        <w:rPr>
          <w:rFonts w:ascii="Times New Roman" w:hAnsi="Times New Roman" w:cs="Times New Roman"/>
          <w:sz w:val="24"/>
          <w:szCs w:val="24"/>
        </w:rPr>
        <w:t xml:space="preserve"> </w:t>
      </w:r>
      <w:r w:rsidR="009022C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одной стороны, </w:t>
      </w:r>
      <w:r w:rsidR="00425C0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</w:t>
      </w:r>
    </w:p>
    <w:p w:rsidR="00425C0D" w:rsidRPr="00A55330" w:rsidRDefault="00425C0D" w:rsidP="00B3564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gram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(индивидуальный предприниматель, российское или иностранное</w:t>
      </w:r>
      <w:proofErr w:type="gramEnd"/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</w:t>
      </w:r>
    </w:p>
    <w:p w:rsidR="00425C0D" w:rsidRPr="00A55330" w:rsidRDefault="00425C0D" w:rsidP="00B3564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юридическое лицо либо действующие без образования юридического</w:t>
      </w:r>
      <w:proofErr w:type="gramEnd"/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</w:t>
      </w:r>
    </w:p>
    <w:p w:rsidR="00425C0D" w:rsidRPr="00A55330" w:rsidRDefault="00425C0D" w:rsidP="00B3564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лица по договору простого товарищества (договору о совместной</w:t>
      </w:r>
      <w:proofErr w:type="gramEnd"/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425C0D" w:rsidRPr="00A55330" w:rsidRDefault="00425C0D" w:rsidP="00B3564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деятельности) два или более юридических лица - указать нужное)</w:t>
      </w:r>
      <w:proofErr w:type="gramEnd"/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в лице 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</w:t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</w:t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425C0D" w:rsidRPr="00A55330" w:rsidRDefault="00425C0D" w:rsidP="00B35643">
      <w:pPr>
        <w:pStyle w:val="ConsPlusNonformat"/>
        <w:ind w:left="707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(должность, ф.и.о. уполномоченного лица)</w:t>
      </w:r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действующего</w:t>
      </w:r>
      <w:proofErr w:type="gramEnd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основании 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</w:t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</w:t>
      </w:r>
    </w:p>
    <w:p w:rsidR="00425C0D" w:rsidRPr="00A55330" w:rsidRDefault="00425C0D" w:rsidP="00B35643">
      <w:pPr>
        <w:pStyle w:val="ConsPlusNonformat"/>
        <w:ind w:left="2124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(наименование и реквизиты документа,</w:t>
      </w:r>
      <w:proofErr w:type="gramEnd"/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__,</w:t>
      </w:r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устанавливающего полномочия лица)</w:t>
      </w:r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именуемый</w:t>
      </w:r>
      <w:proofErr w:type="gramEnd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в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дальнейшем  Концессионером, с другой </w:t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стороны,</w:t>
      </w:r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именуемые</w:t>
      </w:r>
      <w:proofErr w:type="gramEnd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также Сторонами, в соответствии с 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</w:t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</w:p>
    <w:p w:rsidR="00425C0D" w:rsidRPr="00A55330" w:rsidRDefault="00B35643" w:rsidP="00B3564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proofErr w:type="gramStart"/>
      <w:r w:rsidR="00425C0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(протоколом</w:t>
      </w:r>
      <w:proofErr w:type="gramEnd"/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</w:p>
    <w:p w:rsidR="00B35643" w:rsidRPr="00A55330" w:rsidRDefault="00425C0D" w:rsidP="00B3564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конкурсной комиссии о результатах проведения конкурса, решением</w:t>
      </w:r>
    </w:p>
    <w:p w:rsidR="00425C0D" w:rsidRPr="00A55330" w:rsidRDefault="00B35643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</w:t>
      </w:r>
      <w:r w:rsidR="00425C0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</w:p>
    <w:p w:rsidR="00425C0D" w:rsidRPr="00A55330" w:rsidRDefault="00425C0D" w:rsidP="00B3564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Концедента</w:t>
      </w:r>
      <w:proofErr w:type="spellEnd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заключении настоящего Соглашения без проведения</w:t>
      </w:r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="00B35643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</w:p>
    <w:p w:rsidR="00425C0D" w:rsidRPr="00A55330" w:rsidRDefault="00425C0D" w:rsidP="00B3564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конкурса - указать </w:t>
      </w:r>
      <w:proofErr w:type="gramStart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нужное</w:t>
      </w:r>
      <w:proofErr w:type="gramEnd"/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</w:p>
    <w:p w:rsidR="00425C0D" w:rsidRPr="00A55330" w:rsidRDefault="00425C0D" w:rsidP="00B35643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"__" ___________ 20__ г. 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№</w:t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 заключили настоящее Соглашение</w:t>
      </w:r>
      <w:r w:rsidR="008B7ABD"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55330">
        <w:rPr>
          <w:rFonts w:ascii="Times New Roman" w:eastAsiaTheme="minorHAnsi" w:hAnsi="Times New Roman" w:cs="Times New Roman"/>
          <w:sz w:val="24"/>
          <w:szCs w:val="24"/>
          <w:lang w:eastAsia="en-US"/>
        </w:rPr>
        <w:t>о нижеследующем.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Предмет Соглашения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89"/>
      <w:bookmarkEnd w:id="0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Концессионер обязуется за свой счет реконструировать недвижимое имущество,  состав и описание которого приведены в </w:t>
      </w:r>
      <w:hyperlink w:anchor="Par130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разделе II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  (далее - объект Соглашения), право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которое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принадлежит </w:t>
      </w:r>
      <w:r w:rsidR="008F4FB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онцеденту, и осуществлять деятельность по организации культурного досуга, отдыха и общественного питания с использованием объекта Соглашения, а </w:t>
      </w:r>
      <w:r w:rsidR="008F4FB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 обязуется предоставить </w:t>
      </w:r>
      <w:r w:rsidR="008F4FB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онцессионеру на срок, установленный настоящим Соглашением, права владения и пользования объектом Соглашения для осуществления указанной деятельности.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130"/>
      <w:bookmarkEnd w:id="1"/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Объект Соглашения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Объектом Соглашения являются Помещения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</w:t>
      </w:r>
    </w:p>
    <w:p w:rsidR="00D15B64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Объект Соглашения, подлежащий реконструкции, принадлежит </w:t>
      </w:r>
      <w:r w:rsidR="003446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онцеденту на праве собственности, о чем в Едином государственном реестре прав на недвижимое имущество и сделок с ним «</w:t>
      </w:r>
      <w:r w:rsidR="0047239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7239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мая 2012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сделан</w:t>
      </w:r>
      <w:r w:rsidR="00D15B6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ы следующие записи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</w:t>
      </w:r>
      <w:r w:rsidR="00D15B6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5B64" w:rsidRPr="00A55330" w:rsidRDefault="00D15B64" w:rsidP="00B35643">
      <w:pPr>
        <w:pStyle w:val="ad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регистрации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7239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15-15-09/043/2012-25</w:t>
      </w:r>
      <w:r w:rsidR="004F2A8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F2A8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2398" w:rsidRPr="00A55330" w:rsidRDefault="00D15B64" w:rsidP="00B35643">
      <w:pPr>
        <w:pStyle w:val="ad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4F2A8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апись регистрации № 15-15-09/043/2012-252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документов, </w:t>
      </w:r>
      <w:r w:rsidR="0047239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подтверждающих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</w:t>
      </w:r>
      <w:r w:rsidR="003446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 на объект  Соглашения,</w:t>
      </w:r>
      <w:r w:rsidR="003446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документов, подтверждающих постановку объекта Соглашения на государственный кадастровый учет,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приведены в приложении </w:t>
      </w:r>
      <w:r w:rsidR="003D2F7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Соглашению.</w:t>
      </w: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гарантирует, что объект Соглашения передается </w:t>
      </w:r>
      <w:r w:rsidR="003446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онцессионеру свободным от прав третьих лиц и иных ограничений прав собственности</w:t>
      </w:r>
      <w:r w:rsidR="00B81BB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6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81BB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 на указанный объект</w:t>
      </w:r>
      <w:r w:rsidR="003446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</w:t>
      </w:r>
      <w:r w:rsidR="00B81BB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исключением того, что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81BB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 Соглашения является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81BB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бъектом культурного наследия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регионального значения</w:t>
      </w:r>
      <w:r w:rsidR="00C6117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отношении него имеется охранное обязательство №80/12 от 12.05.2012 года</w:t>
      </w:r>
      <w:r w:rsidR="00BC56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охранное обязательство)</w:t>
      </w:r>
      <w:r w:rsidR="00C6117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D2F7A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58"/>
      <w:bookmarkEnd w:id="2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Концедент обязуется передать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онцессионеру, а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 обязуется принять Помещения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кв.м., которые подлежат реконструкции, а также права владения и пользования указанным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бъектом</w:t>
      </w:r>
      <w:r w:rsidR="00FC2E7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5 (пят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D2F7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C6117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(заключения)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Соглашения.</w:t>
      </w:r>
      <w:bookmarkStart w:id="3" w:name="Par171"/>
      <w:bookmarkEnd w:id="3"/>
    </w:p>
    <w:p w:rsidR="003D2F7A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</w:t>
      </w:r>
      <w:proofErr w:type="spellStart"/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онцедентом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онцессионеру Помещений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кв.м., осуществляется по акту приема-передачи имущества, </w:t>
      </w:r>
      <w:r w:rsidR="002B545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подписываемому Сторонами, форма </w:t>
      </w:r>
      <w:proofErr w:type="gramStart"/>
      <w:r w:rsidR="002B545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</w:t>
      </w:r>
      <w:proofErr w:type="gramEnd"/>
      <w:r w:rsidR="002B545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в приложении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2F7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 к настоящему Соглашению.</w:t>
      </w:r>
    </w:p>
    <w:p w:rsidR="003D2F7A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Обязанность </w:t>
      </w:r>
      <w:proofErr w:type="spellStart"/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передаче Помещений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кв.м., считается исполненной после принятия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</w:t>
      </w:r>
      <w:r w:rsidR="00FC2E7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онцессионером и подписания Сторонами акта приема-передачи имущества.</w:t>
      </w:r>
    </w:p>
    <w:p w:rsidR="003D2F7A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Уклонение одной из Сторон от подписания указанного документа признается  нарушением этой Стороной обязанности, установленной </w:t>
      </w:r>
      <w:hyperlink w:anchor="Par158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абзацем первым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пункта.</w:t>
      </w:r>
    </w:p>
    <w:p w:rsidR="003D2F7A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онцессионеру по перечню, </w:t>
      </w:r>
      <w:r w:rsidR="003D2F7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приведен в приложении №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Соглашению, документы, относящиеся к передаваемым Помещениям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кв.м., необходимые для исполнения  настоящего Соглашения, одновременно с передачей соответствующего </w:t>
      </w:r>
      <w:r w:rsidR="005B160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</w:t>
      </w:r>
      <w:r w:rsidR="00FC2E7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2719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Обязанность </w:t>
      </w:r>
      <w:proofErr w:type="spellStart"/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передаче </w:t>
      </w:r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онцессионеру прав владения и пользования Помещени</w:t>
      </w:r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кв.м., считается исполненной </w:t>
      </w:r>
      <w:r w:rsidR="00A1796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государствен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регистрации указанных прав </w:t>
      </w:r>
      <w:r w:rsidR="00A1796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концессионера</w:t>
      </w:r>
      <w:r w:rsidR="00FC2E7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C2E7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 Соглашения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C2E7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органе, осуществляющем государственную регистрацию прав на недвижимое имущество и сделок с ним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327FB" w:rsidRPr="00A55330" w:rsidRDefault="00B35643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</w:t>
      </w:r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Соглашения, его описание, в том числе технико-экономические показатели, приведены в приложении </w:t>
      </w:r>
      <w:r w:rsidR="00C2271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3 к настоящему Соглашению.</w:t>
      </w:r>
    </w:p>
    <w:p w:rsidR="00F327FB" w:rsidRPr="00A55330" w:rsidRDefault="00B35643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298"/>
      <w:bookmarkEnd w:id="4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осуществить действия, необходимые для государственной  регистрации </w:t>
      </w:r>
      <w:r w:rsidR="00E34FC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  концессионера  на  владение и пользование объектом Соглашения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 обязуется предоставить </w:t>
      </w:r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онцессионеру документы, необходимые для государственной регистрации </w:t>
      </w:r>
      <w:r w:rsidR="00E34FC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 концессионера на владение и пользование объектом Соглашения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 законодательством</w:t>
      </w:r>
      <w:r w:rsidR="00942C4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B28D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 (</w:t>
      </w:r>
      <w:r w:rsidR="00BB28D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B28D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271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BB28D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BB28D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</w:t>
      </w:r>
      <w:r w:rsidR="00C6117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(заключения)</w:t>
      </w:r>
      <w:r w:rsidR="00BB28D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942C4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B28D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307"/>
      <w:bookmarkEnd w:id="5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Государственная регистрация </w:t>
      </w:r>
      <w:r w:rsidR="00E34FC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 w:rsidR="00E34FC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hyperlink w:anchor="Par158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настоящего Соглашения, осуществляется за счет </w:t>
      </w:r>
      <w:r w:rsidR="002A52A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онцессионера.</w:t>
      </w:r>
    </w:p>
    <w:p w:rsidR="00F327FB" w:rsidRPr="00A55330" w:rsidRDefault="00B35643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Риск случайной гибели или случайного повреждения объекта Соглашения несет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 в период </w:t>
      </w:r>
      <w:proofErr w:type="gramStart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приема-передачи имущества от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онцендента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онцессионеру по дату подписания акта приема-передачи имущества от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онцессионера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онценденту.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III. Реконструкция </w:t>
      </w:r>
      <w:r w:rsidR="00334584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бъекта Соглашения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Концессионер обязан реконструировать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 С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оглашения, состав, описание и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технико-экономические показатели которого приведены в приложении </w:t>
      </w:r>
      <w:r w:rsidR="00C2271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3 к настоящему Соглашению, в срок, указанный в</w:t>
      </w:r>
      <w:r w:rsidR="001774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пункте 38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1774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 w:rsidR="001774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749F" w:rsidRPr="00A55330" w:rsidRDefault="0017749F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Концессионер обязан осуществлять права владения и пользования объектом Соглашения в соответствии с требованиями, установленными Федеральным  законом </w:t>
      </w:r>
      <w:r w:rsidR="00C2271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объектах культурного наследия (памятниках истории и культур</w:t>
      </w:r>
      <w:r w:rsidR="00C2271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ы) народов Российской Федерации»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17749F" w:rsidRPr="00A55330" w:rsidRDefault="0017749F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обеспечивать физическую сохранность объекта культурного наследия, в том числе  в установленном порядке его консервацию, ремонт, реставрацию, приспособление объекта культурного наследия для современного использования;</w:t>
      </w:r>
    </w:p>
    <w:p w:rsidR="0017749F" w:rsidRPr="00A55330" w:rsidRDefault="0017749F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выполнять требования охранного обязатель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ства, в том числе к содержанию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культурного наследия, условиям доступа к нему граждан, порядку и срокам проведения реставрационных, ремонтных и иных ра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бот по его сохранению, а также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требования, обеспечивающие сохранность объекта. 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BC56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Концессионер вправе привлекать к выполнению работ по реконструкции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 Соглашения третьих лиц, за действия которых он несет ответственность как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собственные.</w:t>
      </w:r>
    </w:p>
    <w:p w:rsidR="00F67F5A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1774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Концедент </w:t>
      </w:r>
      <w:proofErr w:type="gramStart"/>
      <w:r w:rsidR="001774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="001774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передать</w:t>
      </w:r>
      <w:r w:rsidR="00F67F5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концессионеру</w:t>
      </w:r>
      <w:r w:rsidR="001774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проектную документацию</w:t>
      </w:r>
      <w:r w:rsidR="00F67F5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67F5A" w:rsidRPr="00A55330">
        <w:rPr>
          <w:rFonts w:ascii="Times New Roman" w:hAnsi="Times New Roman"/>
          <w:sz w:val="24"/>
          <w:szCs w:val="24"/>
          <w:lang w:eastAsia="ru-RU"/>
        </w:rPr>
        <w:t>«Реконструкция помещений в целях организации культурного досуга, отдыха и общественного питания по ул. Революции, 61 г. Владикавказ»</w:t>
      </w:r>
      <w:r w:rsidR="00F67F5A" w:rsidRPr="00A55330">
        <w:rPr>
          <w:rFonts w:ascii="Times New Roman" w:hAnsi="Times New Roman"/>
          <w:sz w:val="24"/>
          <w:szCs w:val="24"/>
        </w:rPr>
        <w:t xml:space="preserve"> не позднее дня подписания (заключения) настоящего Соглашения. </w:t>
      </w:r>
      <w:r w:rsidR="001774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2719" w:rsidRPr="00A55330" w:rsidRDefault="00F327FB" w:rsidP="00B356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Концессионер обязан за свой счет реконструировать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 Соглашения в соответствии с </w:t>
      </w:r>
      <w:r w:rsidR="00334584" w:rsidRPr="00A55330">
        <w:rPr>
          <w:rFonts w:ascii="Times New Roman" w:hAnsi="Times New Roman"/>
          <w:sz w:val="24"/>
          <w:szCs w:val="24"/>
        </w:rPr>
        <w:t>проектной документаци</w:t>
      </w:r>
      <w:r w:rsidR="00BC5645" w:rsidRPr="00A55330">
        <w:rPr>
          <w:rFonts w:ascii="Times New Roman" w:hAnsi="Times New Roman"/>
          <w:sz w:val="24"/>
          <w:szCs w:val="24"/>
        </w:rPr>
        <w:t>ей</w:t>
      </w:r>
      <w:r w:rsidR="00334584" w:rsidRPr="00A55330">
        <w:rPr>
          <w:rFonts w:ascii="Times New Roman" w:hAnsi="Times New Roman"/>
          <w:sz w:val="24"/>
          <w:szCs w:val="24"/>
          <w:lang w:eastAsia="ru-RU"/>
        </w:rPr>
        <w:t>: «Реконструкция помещений в целях организации культурного досуга, отдыха и общественного питания по ул. Революции, 61 г. Владикавказ»</w:t>
      </w:r>
      <w:r w:rsidR="00334584" w:rsidRPr="00A55330">
        <w:rPr>
          <w:rFonts w:ascii="Times New Roman" w:hAnsi="Times New Roman"/>
          <w:sz w:val="24"/>
          <w:szCs w:val="24"/>
        </w:rPr>
        <w:t>.</w:t>
      </w:r>
    </w:p>
    <w:p w:rsidR="00C22719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Концедент обязуется обеспечить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онцессионеру необходимые условия для выполнения работ по реконструкции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оглашения, в том числе принять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меры по обеспечению свободного доступа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онцессионера и уполномоченных им лиц к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бъекту Соглашени</w:t>
      </w:r>
      <w:r w:rsidR="00C2271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:rsidR="009F7024" w:rsidRPr="00A55330" w:rsidRDefault="00F327FB" w:rsidP="00B356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При обнаружении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независящих от Сторон обстоятельств, делающих невозможным реконструкцию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ввод в эксплуатацию </w:t>
      </w:r>
      <w:r w:rsidR="00F67F5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Соглашения в сроки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настоящим Соглашением, и (или) использование (эксплуатацию)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Соглашения,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 обязуется немедленно уведомить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 об указанных обстоя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тельствах в целях согласования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дальнейших  действий Сторон по исполнению настоящего Соглашения.</w:t>
      </w:r>
    </w:p>
    <w:p w:rsidR="009F7024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1645B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 обязан ввести объект Соглашения в эксплуатацию в порядке, установленном законодательством Росси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йской Федерации.</w:t>
      </w:r>
    </w:p>
    <w:p w:rsidR="009F7024" w:rsidRPr="00A55330" w:rsidRDefault="00F327FB" w:rsidP="00B356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Концессионер обязан приступить к использованию (эксплуатации)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 в срок, указанный в</w:t>
      </w:r>
      <w:r w:rsidR="001645B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пункте 40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1645B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 w:rsidR="001645B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7024" w:rsidRPr="00A55330" w:rsidRDefault="001645B7" w:rsidP="00B356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 обязан осуществить инвес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тиции в реконструкцию объекта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Соглашения в объемах и формах, которые приведены в приложении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B532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Соглашению.</w:t>
      </w:r>
    </w:p>
    <w:p w:rsidR="009F7024" w:rsidRPr="00A55330" w:rsidRDefault="001645B7" w:rsidP="00B356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Концессионер  обязан  обеспечить  сдачу  в  эксплуатацию объекта  Соглашения с технико-экономическими показателями,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приведены в приложении №</w:t>
      </w:r>
      <w:r w:rsidR="00AB532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Соглашению, в срок, указанный в пункте 39 настоящего Соглашения.</w:t>
      </w: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Завершение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работ по реконструкции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оформляется подписываемым Сторонами документом об исполнении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 обязательств</w:t>
      </w:r>
      <w:r w:rsidR="00A819E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реконструкции </w:t>
      </w:r>
      <w:r w:rsidR="0033458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Соглашения.</w:t>
      </w:r>
      <w:r w:rsidR="00A819E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IV. Владение, пользование и распоряжение </w:t>
      </w:r>
      <w:r w:rsidR="008D68B5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бъектом Соглашения</w:t>
      </w:r>
    </w:p>
    <w:p w:rsidR="00B35643" w:rsidRPr="00A55330" w:rsidRDefault="00B35643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024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Концедент обязан предоставить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онцессионеру права владения и пользования Помещениями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</w:t>
      </w:r>
    </w:p>
    <w:p w:rsidR="009F7024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Концессионер обязан использовать (эксплуатировать) Помещения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</w:t>
      </w:r>
      <w:r w:rsidR="00DE48B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настоящим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Соглашением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осуществления деятельности, указанной в </w:t>
      </w:r>
      <w:hyperlink w:anchor="Par89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</w:t>
        </w:r>
      </w:hyperlink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Соглашения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7024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Концессионер обязан поддерживать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 Соглашения в исправном состоянии, производить за свой счет текущий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нести расходы на содержание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7FB" w:rsidRPr="00A55330" w:rsidRDefault="00AF7FB9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Концедент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производить за свой счет капитальный ремонт объекта Соглашения.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7024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586"/>
      <w:bookmarkEnd w:id="6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Концессионер имеет право с согласия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онцедента передавать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 Соглашения в пользование третьим лицам на срок, не превышающий срока действия настоящего Соглашения</w:t>
      </w:r>
      <w:r w:rsidR="00CB39D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B39DB" w:rsidRPr="00A55330">
        <w:t xml:space="preserve"> </w:t>
      </w:r>
      <w:r w:rsidR="00CB39D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указанного в пункте 37 настоящего Соглашения,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соблюдения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онцессионером обязательств, предусмотренных настоящим Соглашением.</w:t>
      </w:r>
    </w:p>
    <w:p w:rsidR="009F7024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Передача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в залог или отчуждение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 не допускается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7024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Продукция и доходы, полученные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в результате осуществления  деятельности по настоящему Соглашению, являются собственностью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онцессионера.</w:t>
      </w:r>
    </w:p>
    <w:p w:rsidR="009F7024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Имущество, созданное или приобретенное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при исполнении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Соглашения и не являющееся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бъектом Соглашения является</w:t>
      </w:r>
      <w:proofErr w:type="gramEnd"/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собственностью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онцессионера.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Концессионер обязан учитывать </w:t>
      </w:r>
      <w:r w:rsidR="008D68B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 Соглашения на своем балансе и производить соответствующее начисление амортизации.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V. Порядок передачи </w:t>
      </w:r>
      <w:r w:rsidR="00AB62F4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онцессионером</w:t>
      </w:r>
    </w:p>
    <w:p w:rsidR="00F327FB" w:rsidRPr="00A55330" w:rsidRDefault="00AB62F4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онцеденту 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F327FB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бъект</w:t>
      </w:r>
      <w:r w:rsidR="00DE48BA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Соглашения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629"/>
      <w:bookmarkEnd w:id="7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Концессионер обязан передать </w:t>
      </w:r>
      <w:r w:rsidR="00C165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онцеденту, а </w:t>
      </w:r>
      <w:r w:rsidR="00C165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 обязан принять </w:t>
      </w:r>
      <w:r w:rsidR="00C165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  Соглашения </w:t>
      </w:r>
      <w:r w:rsidR="00CB39D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срок, указанный в пункте 41 настоящего Соглашения.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39D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Передаваемый   концессионером объект Соглашения должен находиться в состоянии, приведенном в приложении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41D0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39D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Соглашению, быть пригодным для осуществления деятельности, указанной в пункте 1 настоящего Соглашения, и не должен быть обременен правами третьих лиц.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636"/>
      <w:bookmarkEnd w:id="8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bookmarkStart w:id="9" w:name="Par642"/>
      <w:bookmarkEnd w:id="9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</w:t>
      </w:r>
      <w:r w:rsidR="00C165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</w:t>
      </w:r>
      <w:proofErr w:type="spellStart"/>
      <w:r w:rsidR="00C165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онцеденту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56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 </w:t>
      </w:r>
      <w:hyperlink w:anchor="Par636" w:history="1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по акту приема-передачи имущества, подписываемому Сторонами.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Концессионер передает </w:t>
      </w:r>
      <w:r w:rsidR="00DF7C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онцеденту документы, относящиеся к передаваемому  </w:t>
      </w:r>
      <w:r w:rsidR="00DF7C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бъекту</w:t>
      </w:r>
      <w:r w:rsidR="00DF7C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одновременно с передачей этого </w:t>
      </w:r>
      <w:r w:rsidR="00DF7C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</w:t>
      </w:r>
      <w:r w:rsidR="00DF7C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онцеденту.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Концедент вправе отказаться от подписания акта приема-передачи имущества в случае несоответствия </w:t>
      </w:r>
      <w:r w:rsidR="00DF7C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</w:t>
      </w:r>
      <w:r w:rsidR="00DE48B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 состоянию, указанному в пункте 25 настоящего Соглашения.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Обязанность </w:t>
      </w:r>
      <w:r w:rsidR="00DF7C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онцессионера по передаче </w:t>
      </w:r>
      <w:r w:rsidR="00DF7C4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 считается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исполненной с момента подписания Сторонами акт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приема-передачи имущества и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регистрации прекращения</w:t>
      </w:r>
      <w:r w:rsidR="00A1796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концессионера на владение и пользование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96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объектом Соглашения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7024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</w:t>
      </w:r>
      <w:proofErr w:type="spellStart"/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документа, указанного в</w:t>
      </w:r>
      <w:r w:rsidR="00B4645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абзаце первом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1E2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B4645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51E2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 w:rsidR="00B4645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Соглашения, обязанность 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онцессионера по передаче 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Соглашения,  считается исполненной, если 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 осуществил все необходимые действия по передаче 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Соглашения, включая действия по государственной регистрации прекращения 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 концессионера на владение и пользование объектом Соглашения.</w:t>
      </w:r>
    </w:p>
    <w:p w:rsidR="009F7024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30. Уклонение одной из Сторон от подписания акта приема-передачи имущества признается отказом этой Стороны от исполнения ею обязанностей, установленных настоящим Соглашением.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31. Стороны обязуются осуществить действия, нео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бходимые для государственной 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прекращения прав концессионера на владение и пользование объектом Соглашения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прекращения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Стороны обязуются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следующие действия:</w:t>
      </w:r>
    </w:p>
    <w:p w:rsidR="00F51E2E" w:rsidRPr="00A55330" w:rsidRDefault="00F327FB" w:rsidP="00B35643">
      <w:pPr>
        <w:pStyle w:val="ad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подписать соглашение о расторжении настоящего Соглашения и акт приема –</w:t>
      </w:r>
      <w:r w:rsidR="00F51E2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ередачи 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екта Соглашения;</w:t>
      </w:r>
    </w:p>
    <w:p w:rsidR="00F327FB" w:rsidRPr="00A55330" w:rsidRDefault="00F51E2E" w:rsidP="00B35643">
      <w:pPr>
        <w:pStyle w:val="ad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редставить вышеуказанные документы в орган, осуществляющий государственную регистрацию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недвижимое имущество и сделок с ним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 законодательством</w:t>
      </w:r>
      <w:r w:rsidR="00B4645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10 (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94136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1AD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</w:t>
      </w:r>
      <w:proofErr w:type="gramStart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акта приема-передачи </w:t>
      </w:r>
      <w:r w:rsidR="0042052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</w:t>
      </w:r>
      <w:proofErr w:type="gramEnd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Par707"/>
      <w:bookmarkEnd w:id="10"/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VI. Порядок осуществления </w:t>
      </w:r>
      <w:r w:rsidR="004C486F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онцессионером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 по настоящему Соглашению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По настоящему Соглашению </w:t>
      </w:r>
      <w:r w:rsidR="004C486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 обязан на условиях, предусмотренных настоящим Соглашением, осуществлять деятельность, указанную в </w:t>
      </w:r>
      <w:hyperlink w:anchor="Par89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Концессионер обязан осуществлять связанную с использованием </w:t>
      </w:r>
      <w:r w:rsidR="004C486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 деятельность, указанную в пункте </w:t>
      </w:r>
      <w:hyperlink w:anchor="Par89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и не прекращать (не приостанавливать) эту деятельность без согласия </w:t>
      </w:r>
      <w:r w:rsidR="004C486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34. Концессионер обязан осуществлять деятельность, указанную в </w:t>
      </w:r>
      <w:hyperlink w:anchor="Par89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</w:t>
        </w:r>
      </w:hyperlink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Соглашения, в соответствии с требованиями, установленными законодательством Российской Федерации.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Концессионер обязан осуществлять деятельность, указанную в </w:t>
      </w:r>
      <w:hyperlink w:anchor="Par89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ввода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486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 в эксплуатацию и до окончания срока, указанного в</w:t>
      </w:r>
      <w:r w:rsidR="00B4645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пункте 42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</w:t>
      </w:r>
      <w:r w:rsidR="00B4645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 w:rsidR="00B4645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Концессионер имеет право исполнять настоящее Соглашение, включая осуществление деятельности, предусмотренной </w:t>
      </w:r>
      <w:hyperlink w:anchor="Par89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1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своими силами и (или) с привлечением других лиц.  При  этом  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  несет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действия других лиц как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собственные.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Par755"/>
      <w:bookmarkEnd w:id="11"/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VII. Сроки по настоящему Соглашению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757"/>
      <w:bookmarkEnd w:id="12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Настоящее Соглашение вступает в силу со дня его подписания и действует в течение 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84504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(двадцати пяти)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F327FB" w:rsidRPr="00A55330" w:rsidRDefault="00B35643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762"/>
      <w:bookmarkEnd w:id="13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реконструкции 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 </w:t>
      </w:r>
      <w:r w:rsidR="0066230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" ____________ 20__ г.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ar766"/>
      <w:bookmarkEnd w:id="14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</w:t>
      </w:r>
      <w:bookmarkStart w:id="15" w:name="Par774"/>
      <w:bookmarkStart w:id="16" w:name="Par785"/>
      <w:bookmarkEnd w:id="15"/>
      <w:bookmarkEnd w:id="16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ввода в эксплуатацию 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- "__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" _____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20__ г.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787"/>
      <w:bookmarkEnd w:id="17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 Срок использования (эксплуатации) 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 - с "__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" ________ 20__ г. по "__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" _______ 20__ г.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Par794"/>
      <w:bookmarkEnd w:id="18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41. Срок передачи 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</w:t>
      </w:r>
      <w:proofErr w:type="spellStart"/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онцеденту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 </w:t>
      </w:r>
      <w:r w:rsidR="0055799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02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</w:t>
      </w:r>
      <w:proofErr w:type="gramStart"/>
      <w:r w:rsidR="00F402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F402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799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 рабочих</w:t>
      </w:r>
      <w:r w:rsidR="00F402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прекращения концессионного соглашения</w:t>
      </w:r>
      <w:r w:rsidR="0066230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230D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ar797"/>
      <w:bookmarkEnd w:id="19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  </w:t>
      </w:r>
      <w:bookmarkStart w:id="20" w:name="Par800"/>
      <w:bookmarkEnd w:id="20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осуществления 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деятельности, указанной в </w:t>
      </w:r>
      <w:hyperlink w:anchor="Par89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 - </w:t>
      </w:r>
      <w:r w:rsidR="0066230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="005C3A6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="0066230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г.</w:t>
      </w:r>
    </w:p>
    <w:p w:rsidR="00B35643" w:rsidRPr="00A55330" w:rsidRDefault="00B35643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VIII. Плата по Соглашению</w:t>
      </w:r>
    </w:p>
    <w:p w:rsidR="00B35643" w:rsidRPr="00A55330" w:rsidRDefault="00B35643" w:rsidP="00B356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327FB" w:rsidRPr="00A55330" w:rsidRDefault="00F327FB" w:rsidP="00B35643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55330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43. </w:t>
      </w:r>
      <w:r w:rsidR="007C63A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Концессионная плата вносится концессионером ежемесячно </w:t>
      </w:r>
      <w:proofErr w:type="gramStart"/>
      <w:r w:rsidR="007C63A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ввода</w:t>
      </w:r>
      <w:proofErr w:type="gramEnd"/>
      <w:r w:rsidR="007C63A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объекта Соглашения после его реконструкции в твердой сумме платежей, перечисляемых в безналичной форме по реквизитам, указанным в настоящем Соглашении.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44. </w:t>
      </w:r>
      <w:r w:rsidR="007C63A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 обязан уплачивать концеденту концессионную плату в размере ______________________________ рублей за месяц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553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45. Концессионная плата уплачивается </w:t>
      </w:r>
      <w:r w:rsidR="007C63A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</w:t>
      </w:r>
      <w:r w:rsidR="007C63A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онцеденту в течение осуществления деятельности предусмотренной настоящим Соглашением в срок до 10 числа месяца следующего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расчетным.</w:t>
      </w:r>
    </w:p>
    <w:p w:rsidR="005C5E01" w:rsidRPr="00A55330" w:rsidRDefault="005C5E0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E01" w:rsidRPr="00A55330" w:rsidRDefault="00E31D1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</w:t>
      </w:r>
      <w:r w:rsidR="005C5E01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Исключительные права на результаты</w:t>
      </w:r>
    </w:p>
    <w:p w:rsidR="005C5E01" w:rsidRPr="00A55330" w:rsidRDefault="005C5E0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интеллектуальной деятельности</w:t>
      </w:r>
    </w:p>
    <w:p w:rsidR="005C5E01" w:rsidRPr="00A55330" w:rsidRDefault="005C5E0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E01" w:rsidRPr="00A55330" w:rsidRDefault="005C5E0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46. У </w:t>
      </w:r>
      <w:r w:rsidR="007C63A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онцедента не возникает исключительных прав на результаты интеллектуальной деятельности, полученные </w:t>
      </w:r>
      <w:r w:rsidR="007C63A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онцессионером за свой счет при исполнении настоящего Соглашения.</w:t>
      </w:r>
    </w:p>
    <w:p w:rsidR="005C5E01" w:rsidRPr="00A55330" w:rsidRDefault="005C5E0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47. Концессионеру принадлежат исключительные права на результаты интеллектуальной деятельности, полученные </w:t>
      </w:r>
      <w:r w:rsidR="008559B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онцессионером за свой счет при исполнении настоящего Соглашения.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X. Порядок осуществления </w:t>
      </w:r>
      <w:r w:rsidR="008559BE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онцедентом контроля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соблюдением </w:t>
      </w:r>
      <w:r w:rsidR="008559BE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онцессионером условий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настоящего Соглашения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1D1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Права и обязанности </w:t>
      </w:r>
      <w:r w:rsidR="008559B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онцедента осуществляются уполномоченными им  органами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льством Российской Федерации,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</w:t>
      </w:r>
      <w:proofErr w:type="spellStart"/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РСО-Алания</w:t>
      </w:r>
      <w:proofErr w:type="spellEnd"/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нормативными правовыми актами органов местного самоуправления</w:t>
      </w:r>
      <w:r w:rsidR="0081104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1104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81104A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Владикавказа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Концедент уведомляет </w:t>
      </w:r>
      <w:r w:rsidR="008559B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онцессионера об органах, уполномоченных осуществлять от его имени права и обязанности по настоящему Соглашению, в разумный срок до начала осуществления указанными органами возложенных на них полномочий по настоящему Соглашению.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Концедент осуществляет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</w:t>
      </w:r>
      <w:r w:rsidR="00072AE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условий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Соглашения, в том числе обязательств по осуществлению деятельности, указанной в </w:t>
      </w:r>
      <w:hyperlink w:anchor="Par89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обязательств по использованию (эксплуатации) </w:t>
      </w:r>
      <w:r w:rsidR="00072AE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 в соответст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вии с целями, установленными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Соглашением, сроков исполнения обязательств, указанных в </w:t>
      </w:r>
      <w:hyperlink w:anchor="Par755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разделе VII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Соглашения.</w:t>
      </w:r>
    </w:p>
    <w:p w:rsidR="00F327FB" w:rsidRPr="00A55330" w:rsidRDefault="008D20D0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Концессионер обязан обеспечить представителям уполномоченны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органов </w:t>
      </w:r>
      <w:proofErr w:type="spellStart"/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</w:t>
      </w:r>
      <w:proofErr w:type="spellEnd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осуществляющим </w:t>
      </w:r>
      <w:proofErr w:type="gramStart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условий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Соглашения, беспрепятственный доступ на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 Соглашения</w:t>
      </w:r>
      <w:r w:rsidR="00072AE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к документации, относящейся к осуществлению деятельности, указанной в пункте 1 настоящего Соглашения.</w:t>
      </w:r>
    </w:p>
    <w:p w:rsidR="003848EB" w:rsidRPr="00A55330" w:rsidRDefault="008D20D0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 имеет право запрашивать у концессионера информацию об исполнении концессионером обязател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ьств по настоящему Соглашению.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порядок представления концессионер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и рассмотрения </w:t>
      </w:r>
      <w:proofErr w:type="spellStart"/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концедентом</w:t>
      </w:r>
      <w:proofErr w:type="spellEnd"/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указанной информации приведен в приложении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C07D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Соглашению.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вправе вмешиваться в осуществление хозяйственной деятельности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онцессионера.</w:t>
      </w:r>
    </w:p>
    <w:p w:rsidR="003848EB" w:rsidRPr="00A55330" w:rsidRDefault="003848E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 уполномоченных </w:t>
      </w:r>
      <w:proofErr w:type="spell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концеденто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не вправе разглашать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сведения, отнесенные настоящим Соглашением к сведениям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льного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характера, которые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ведены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C07D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Соглашению, или являющиеся коммерческой тайной.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обнаружении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онцедентом в ходе осуществле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контроля за деятельностью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онцессионера нарушений, которые могут сущес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твенно повлиять на соблюдение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условий настоящего Соглашения,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сообщить об этом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онцессионеру в течение 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 (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3848E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обнаружения указанных нарушений.</w:t>
      </w:r>
    </w:p>
    <w:p w:rsidR="003848EB" w:rsidRPr="00A55330" w:rsidRDefault="003848E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обязаны в течение 5 (пяти)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после наступления сроков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обязательств, установленных наст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оящим Соглашением, подписать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об исполнении указанных обязательств.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Стороны обязаны своевременно предос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тавлять друг другу информацию,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необходимую для исполнения обязанностей по настоящему Соглашению, и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</w:t>
      </w:r>
      <w:r w:rsidR="00E31D11" w:rsidRPr="00A55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Ответственность Сторон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неисполнение или ненадлежащее исполнен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обязательств по настоящему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 Стороны несут ответственность, предусмотренную законодательством Российской Федерации и настоящим Соглашением.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ar926"/>
      <w:bookmarkEnd w:id="21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Концессионер несет ответственность перед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онцедентом за допущенное при реконструкции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 нарушение требований, установленных настоящим Соглашением, требований технических регламентов, проектной документации, иных обязательных требований к качеству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ar934"/>
      <w:bookmarkEnd w:id="22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6DD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требований, указанных в </w:t>
      </w:r>
      <w:hyperlink w:anchor="Par926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 (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обнаружения нарушения направить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онцессионеру в письменной форме тре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бование безвозмездно устранить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обнаруженное нарушение с указанием пункта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 и (или)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 требования которых нарушены. При этом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для устранения нарушения </w:t>
      </w:r>
      <w:r w:rsidR="00F96DD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составлять менее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10 (десяти)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Концедент вправе потребовать от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 возмещения причиненных </w:t>
      </w:r>
      <w:proofErr w:type="spellStart"/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онцеденту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убытков, вызванных нарушением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онцессионером т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ребований, указанных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hyperlink w:anchor="Par926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если эти нарушения не были устранены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в срок, определенный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онцедентом в требовании об устранении нарушений, предусмотренном </w:t>
      </w:r>
      <w:hyperlink w:anchor="Par934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пунктом 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или являются существенными.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Концессионер несет перед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онцедентом ответственность за качество работ по реконструкции </w:t>
      </w:r>
      <w:r w:rsidR="0005600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Соглашения </w:t>
      </w:r>
      <w:r w:rsidR="009958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лет со дня передачи объекта Соглашения концеденту.</w:t>
      </w:r>
    </w:p>
    <w:p w:rsidR="00F327FB" w:rsidRPr="00A55330" w:rsidRDefault="008D20D0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Концедент имеет право на возмещение убыт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ков, возникших в результате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неисполнения или ненадлежащего исполнения </w:t>
      </w:r>
      <w:r w:rsidR="009958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онцессионером обязательств</w:t>
      </w:r>
      <w:r w:rsidR="00F0379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Соглашению, указанн</w:t>
      </w:r>
      <w:r w:rsidR="00DB4EB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0379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</w:t>
      </w:r>
      <w:r w:rsidR="00DB4EB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EB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 имеет право на возмещение у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бытков, возникших в результате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неисполнения или ненадлежащего исполнения </w:t>
      </w:r>
      <w:r w:rsidR="009958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онцеденто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обязательств по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настоящему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Соглашению, указанн</w:t>
      </w:r>
      <w:r w:rsidR="00DB4EB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</w:t>
      </w:r>
      <w:r w:rsidR="00DB4EB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F945E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6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Соглашения.</w:t>
      </w:r>
    </w:p>
    <w:p w:rsidR="00995867" w:rsidRPr="00A55330" w:rsidRDefault="00995867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убытков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2006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возникших в результате неисполнения или ненадлежащего исполнения Сторонами обязательств по Соглашению,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расходов</w:t>
      </w:r>
      <w:r w:rsidR="008D581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досрочного </w:t>
      </w:r>
      <w:r w:rsidR="008D581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расторжения (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прекращения</w:t>
      </w:r>
      <w:r w:rsidR="008D581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концессионного соглашения</w:t>
      </w:r>
      <w:r w:rsidR="00E2006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порядке, определенном в приложении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C07D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Соглашению.</w:t>
      </w:r>
    </w:p>
    <w:p w:rsidR="00F327FB" w:rsidRPr="00A55330" w:rsidRDefault="00995867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Концессионер обязан уплатить </w:t>
      </w:r>
      <w:proofErr w:type="spell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концеденту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соответствующий бюджет неустойку в виде штрафа в случае неисполнения или ненадлежащего исполнения концессионером обязательств, установленных пунктами </w:t>
      </w:r>
      <w:r w:rsidR="00EB0DD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40, 41, 42 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314C9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Соглашения,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 случае нарушения сроков</w:t>
      </w:r>
      <w:r w:rsidR="00EB0DD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 обязательств, </w:t>
      </w:r>
      <w:r w:rsidR="00314C9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разделе VII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EB0DD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Соглашения, в размере </w:t>
      </w:r>
      <w:r w:rsidR="00FF5C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5 000 (пять тысяч) рублей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0DD4" w:rsidRPr="00A55330" w:rsidRDefault="00EB0DD4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концессионеру неустойку в случае неисполнения или  ненадлежащего исполнения концедентом обязательств, установленных пунктами 4, 6 настоящего Соглашения, в том числе в случае на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рушения сроков исполнения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обязательств, в размере </w:t>
      </w:r>
      <w:r w:rsidR="00FF5C9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5 000 (пять тысяч) рублей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54FF7" w:rsidRPr="00A55330" w:rsidRDefault="008D20D0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Концессионер обязан не позднее </w:t>
      </w:r>
      <w:r w:rsidR="00F945E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 подписания</w:t>
      </w:r>
      <w:r w:rsidR="00EB0DD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F945E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</w:t>
      </w:r>
      <w:r w:rsidR="009070A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осуществить страхование риска ответственности концессионера за нарушение обязательств по концессионному соглашению на сумму, указанную в </w:t>
      </w:r>
      <w:r w:rsidR="009070A1" w:rsidRPr="00A55330">
        <w:rPr>
          <w:rFonts w:ascii="Times New Roman" w:hAnsi="Times New Roman"/>
          <w:sz w:val="24"/>
          <w:szCs w:val="24"/>
        </w:rPr>
        <w:t>проектной документации</w:t>
      </w:r>
      <w:r w:rsidR="009070A1" w:rsidRPr="00A55330">
        <w:rPr>
          <w:rFonts w:ascii="Times New Roman" w:hAnsi="Times New Roman"/>
          <w:sz w:val="24"/>
          <w:szCs w:val="24"/>
          <w:lang w:eastAsia="ru-RU"/>
        </w:rPr>
        <w:t>: «Реконструкция помещений в целях организации культурного досуга, отдыха и общественного питания по ул. Революции, 61 г. Владикавказ»</w:t>
      </w:r>
      <w:r w:rsidR="00D54FF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исполнения обязатель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едставляется сроком на 1 (один) год с даты подписания</w:t>
      </w:r>
      <w:r w:rsidR="00E2006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(заключения)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4FF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оглашения.</w:t>
      </w:r>
    </w:p>
    <w:p w:rsidR="00F327FB" w:rsidRPr="00A55330" w:rsidRDefault="002B7A8C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D20D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Сторона вправе не приступать к исполнению с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воих обязанностей по настоящему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Соглашению или приостановить их исполнение с уведомлением другой Стороны в случае, когда нарушение другой Стороной св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оих обязанностей по настоящему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 препятствует исполнению указанных обязанностей.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XI</w:t>
      </w:r>
      <w:r w:rsidR="00E31D11" w:rsidRPr="00A55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взаимодействия Сторон при наступлении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 непреодолимой силы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5B051A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Сторона, не исполнившая или исполнив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шая ненадлежащим образом свои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по настоящему Соглашению, несет отв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етственность, предусмотренную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 и настоящим Соглашением, если не докажет, что надлежащее исполнение обязате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льств по настоящему Соглашению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оказалось невозможным вследствие наступления обстоятельств непреодолимой силы.</w:t>
      </w:r>
    </w:p>
    <w:p w:rsidR="00F327FB" w:rsidRPr="00A55330" w:rsidRDefault="005B051A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Сторона, нарушившая условия настоящего Соглашения в результате наступления обстоятельств непреодолимой силы, обязана в письменной форме уведомить другую Сторону: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 наступлении указанных обстоятельств не позднее </w:t>
      </w:r>
      <w:r w:rsidR="009070A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 (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9070A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их наступления и представить необходимые документальные подтверждения;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возобновлении исполнения своих обязательств по настоящему Соглашению.</w:t>
      </w:r>
    </w:p>
    <w:p w:rsidR="00F327FB" w:rsidRPr="00A55330" w:rsidRDefault="005B051A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Стороны обязаны предпринять все разумные ме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для устранения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последствий,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причиненных наступлением обстоятельств н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епреодолимой силы, послуживших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препятствием к исполнению или надлежащему исполнению обязательств по настоящему Соглашению, а также до устранения этих последствий предпринять меры,</w:t>
      </w:r>
      <w:r w:rsidR="009070A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и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направленные на обеспечение надлежащего осуществления </w:t>
      </w:r>
      <w:r w:rsidR="009070A1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указанной в </w:t>
      </w:r>
      <w:hyperlink w:anchor="Par89" w:history="1">
        <w:r w:rsidR="00F327FB"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</w:t>
        </w:r>
      </w:hyperlink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XII</w:t>
      </w:r>
      <w:r w:rsidR="00E31D11" w:rsidRPr="00A55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Изменение Соглашения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5B051A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Соглашение может быть изменено по согласию Сторон. Изменение   настоящего Соглашения осуществляется в письменной форме.</w:t>
      </w:r>
    </w:p>
    <w:p w:rsidR="00F327FB" w:rsidRPr="00A55330" w:rsidRDefault="005B051A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Основаниями для изменения условий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Соглашения является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существенное изменение обстоятельств, из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которых Стороны исходили при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заключении настоящего Соглашения.</w:t>
      </w:r>
    </w:p>
    <w:p w:rsidR="00F327FB" w:rsidRPr="00A55330" w:rsidRDefault="005B051A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Соглашение вносятся изменени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 согласию Сторон в случае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законодательством Российской Федерации, законодательством РСО-Алания, нормативными правовыми актами органов местного самоуправления</w:t>
      </w:r>
      <w:r w:rsidR="006C34F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Владикавказа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норм,  ухудшающих  положение концессионера таким образом, что он в значительной степени лишается того, на что был вправе рассчитывать при заключении настоящего Соглашения, за исключением случ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ая, когда указанные нормы были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 путем внесения изменений в технический  регламент</w:t>
      </w:r>
      <w:proofErr w:type="gramEnd"/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 иной  нормативный правовой акт Российской Федерации, регулирующий отношения в области охраны недр, окружающей среды, здоровья граждан, и к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 при осуществлении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указанной в пункте 1 настоящего Соглашения, не предоставляет потребителям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 регулируемым ценам (тарифам) и (или) с учетом регулируемых надбавок к ценам (тарифам).</w:t>
      </w:r>
    </w:p>
    <w:p w:rsidR="00F327FB" w:rsidRPr="00A55330" w:rsidRDefault="005B051A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настоящего Соглашения, определенные на основании конкурсного предложения концессионера, подлежат изменению только 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</w:t>
      </w:r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срока действия настоящего Соглашения законодательством Российской Федерации, законодательством РСО-Алания, нормативными правовыми актами органов местного </w:t>
      </w:r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самоуправления</w:t>
      </w:r>
      <w:r w:rsidR="006C34F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Владикавказа</w:t>
      </w:r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устанавливаются нормы, ухудшающие положение концессионера таким образом, что он в значительной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лишается того, на что </w:t>
      </w:r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вправе рассчитывать при заключении настоящего Соглашения.</w:t>
      </w:r>
      <w:proofErr w:type="gramEnd"/>
    </w:p>
    <w:p w:rsidR="00F327FB" w:rsidRPr="00A55330" w:rsidRDefault="005A127F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внесения изменений в условия настоящ</w:t>
      </w:r>
      <w:r w:rsidR="00314C9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Соглашения одна из Сторон </w:t>
      </w:r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другой Стороне соответствующее предложение с обоснованием предлагаемых изменений. Эта  другая Сторона в течение 15 (пятнадцати)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</w:t>
      </w:r>
      <w:proofErr w:type="gramStart"/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 предложения рассматривает его и принимает  решение о согласии или об отказе внести изменения в условия настоящего Соглашения.</w:t>
      </w:r>
    </w:p>
    <w:p w:rsidR="00F327FB" w:rsidRPr="00A55330" w:rsidRDefault="005A127F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Соглашение может быть из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менено по требованию одной  из </w:t>
      </w:r>
      <w:r w:rsidR="00AF2B66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  решением  суда  по  основаниям, предусмотренным Гражданским кодексом Российской Федерации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7FB" w:rsidRPr="00A55330" w:rsidRDefault="005B051A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Концессионер имеет право передавать с согласия концедента третьим лицам свои права и обязанности по настоящем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Соглашению с момента ввода в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эксплуатацию объекта Соглашения путем уступки требования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перевода долга по настоящему Соглашению.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E31D1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</w:t>
      </w:r>
      <w:r w:rsidR="00F327FB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Прекращение Соглашения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EA0239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Соглашение прекращается: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истечении срока действия;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соглашению Сторон;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основании судебного решения о его досрочном расторжении.</w:t>
      </w:r>
    </w:p>
    <w:p w:rsidR="00F327FB" w:rsidRPr="00A55330" w:rsidRDefault="00EA0239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Соглашение может быть рас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торгнуто досрочно на основании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суда по требованию одной из Сторон в с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существенного нарушения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Стороной условий настоящего Согла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шения, существенного изменения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обстоятельств, из которых Стороны исходили при его заключении, а также по иным основаниям, предусмотренным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РФ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7FB" w:rsidRPr="00A55330" w:rsidRDefault="00EA0239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существенным нарушениям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онцессионером условий настоящего Соглашения относятся: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нарушение установленн</w:t>
      </w:r>
      <w:r w:rsidR="00EA023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 w:rsidR="00EA023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23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Соглашения срок</w:t>
      </w:r>
      <w:r w:rsidR="00EA023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реконструкции </w:t>
      </w:r>
      <w:r w:rsidR="00AA1D9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Соглашения;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нарушение сроков исполнения обязательств, установленных </w:t>
      </w:r>
      <w:r w:rsidR="0090196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разделом VIII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настоящего Соглашения, более чем на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809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дней;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использование (эксплуатация)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 в целях, не установленных настоящим Соглашением;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нарушение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Согл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ашением порядка распоряжения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бъектом Соглашения, порядка использования (эк</w:t>
      </w:r>
      <w:r w:rsidR="00901960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сплуатации)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Соглашения;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неисполнение или ненадлежащее исполнение </w:t>
      </w:r>
      <w:r w:rsidR="00AA1D9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обязательств, указанных в </w:t>
      </w:r>
      <w:hyperlink w:anchor="Par707" w:history="1">
        <w:r w:rsidRPr="00A55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разделе VI</w:t>
        </w:r>
      </w:hyperlink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прекращение или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приостановление </w:t>
      </w:r>
      <w:r w:rsidR="00AA1D9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соответствующей деятельности без согласия </w:t>
      </w:r>
      <w:r w:rsidR="00AA1D9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онцедента.</w:t>
      </w:r>
    </w:p>
    <w:p w:rsidR="00F327FB" w:rsidRPr="00A55330" w:rsidRDefault="00EA0239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A127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существенным нарушениям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онцедентом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настоящего Соглашения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неисполнение или ненадлежащее исполнение </w:t>
      </w:r>
      <w:r w:rsidR="00E2306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онцедентом обязательств, установленных пунктами 4,</w:t>
      </w:r>
      <w:r w:rsidR="005F75E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Соглашения.</w:t>
      </w:r>
    </w:p>
    <w:p w:rsidR="003235BF" w:rsidRPr="00A55330" w:rsidRDefault="003235BF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7FB" w:rsidRPr="00A55330" w:rsidRDefault="00E31D1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XV</w:t>
      </w:r>
      <w:r w:rsidR="00F327FB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Разрешение споров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D92" w:rsidRPr="00A55330" w:rsidRDefault="00AA1D92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77. Все споры и разногласия, которые могут возникнуть между Сторонами по настоящему Соглашению или в связи с ним, разрешаются путем переговоров.</w:t>
      </w:r>
    </w:p>
    <w:p w:rsidR="00AA1D92" w:rsidRPr="00A55330" w:rsidRDefault="00AA1D92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78. В случае недостижения согласия в резул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ьтате проведенных переговоров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заявляющая о существовании спора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разногласий по настоящему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Соглашению, направляет другой Стороне письменную претензию, ответ на которую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должен быть представлен заявителю в течение 10 (десяти)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получения.</w:t>
      </w:r>
    </w:p>
    <w:p w:rsidR="00AA1D92" w:rsidRPr="00A55330" w:rsidRDefault="00AA1D92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ответ не представлен в указанный срок, претензия считается принятой.</w:t>
      </w:r>
    </w:p>
    <w:p w:rsidR="00F327FB" w:rsidRPr="00A55330" w:rsidRDefault="00AA1D92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79. В случае недостижения Сторонами согласия</w:t>
      </w:r>
      <w:r w:rsidR="00166978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споры, возникшие между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Сторонами,  разрешаются  в соответствии с законодательством Российской Федерации.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E31D1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XVI</w:t>
      </w:r>
      <w:r w:rsidR="00F327FB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Размещение информации</w:t>
      </w:r>
    </w:p>
    <w:p w:rsidR="00D00353" w:rsidRPr="00A55330" w:rsidRDefault="00D00353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83751F" w:rsidP="00314C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</w:t>
      </w:r>
      <w:r w:rsidR="00E05349" w:rsidRPr="00A55330">
        <w:t xml:space="preserve"> </w:t>
      </w:r>
      <w:r w:rsidR="00E0534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Соглашение, за исключением сведений</w:t>
      </w:r>
      <w:r w:rsidR="00181174" w:rsidRPr="00A55330">
        <w:t xml:space="preserve"> </w:t>
      </w:r>
      <w:r w:rsidR="0018117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конфиденциального характера или являющихся коммерческой тайной</w:t>
      </w:r>
      <w:r w:rsidR="00E0534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подлежит размещению 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05349" w:rsidRPr="00A55330">
        <w:rPr>
          <w:rFonts w:ascii="Times New Roman" w:hAnsi="Times New Roman" w:cs="Times New Roman"/>
          <w:sz w:val="24"/>
          <w:szCs w:val="24"/>
        </w:rPr>
        <w:t>официальном сайте</w:t>
      </w:r>
      <w:r w:rsidR="00E0534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Владикавказа и Собрания представителей города Владикавказ в сети "Интернет" </w:t>
      </w:r>
      <w:hyperlink r:id="rId6" w:history="1">
        <w:r w:rsidR="00E05349" w:rsidRPr="00A5533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http://www.vladikavkaz-osetia.ru/</w:t>
        </w:r>
      </w:hyperlink>
      <w:r w:rsidR="00E0534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E31D11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XVI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F327FB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Заключительные положения</w:t>
      </w:r>
    </w:p>
    <w:p w:rsidR="005F75E3" w:rsidRPr="00A55330" w:rsidRDefault="005F75E3" w:rsidP="00314C94">
      <w:pPr>
        <w:widowControl w:val="0"/>
        <w:autoSpaceDE w:val="0"/>
        <w:autoSpaceDN w:val="0"/>
        <w:adjustRightInd w:val="0"/>
        <w:spacing w:after="0" w:line="240" w:lineRule="auto"/>
        <w:ind w:left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83751F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Сторона, изменившая свое местонахожде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и (или) реквизиты, обязана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сообщить об этом другой Стороне в течение </w:t>
      </w:r>
      <w:r w:rsidR="00E0534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10 (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E0534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proofErr w:type="gramStart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этого изменения.</w:t>
      </w:r>
    </w:p>
    <w:p w:rsidR="00F327FB" w:rsidRPr="00A55330" w:rsidRDefault="005F75E3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65BAC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Соглашение составлено на русском языке в тр</w:t>
      </w:r>
      <w:r w:rsidR="00C809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подлинных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экземплярах, имеющих равную юридическую силу, из них</w:t>
      </w:r>
      <w:r w:rsidR="00C809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B356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одному экземпляру для </w:t>
      </w:r>
      <w:proofErr w:type="spellStart"/>
      <w:r w:rsidR="00E0534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онцедента</w:t>
      </w:r>
      <w:proofErr w:type="spellEnd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для </w:t>
      </w:r>
      <w:r w:rsidR="00E0534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онцессионера, третий экземпляр </w:t>
      </w:r>
      <w:r w:rsidR="00C809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</w:t>
      </w:r>
      <w:r w:rsidR="00C809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осуществляющ</w:t>
      </w:r>
      <w:r w:rsidR="00C8094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государственную регистрацию прав на недвижимое имущество и сделок с ним.</w:t>
      </w:r>
    </w:p>
    <w:p w:rsidR="00F327FB" w:rsidRPr="00A55330" w:rsidRDefault="005F75E3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65BAC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14C9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приложения и дополнительные соглашен</w:t>
      </w:r>
      <w:r w:rsidR="00314C9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к настоящему Соглашению как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заключенные при подписании настоящего Соглашения, так и после вступления в силу настоящего Соглашения, являются его неотъемлемой частью. Указанные приложения  и дополнительные соглашения подписываются уполномоченными представителями Сторон.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5F75E3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XVI</w:t>
      </w:r>
      <w:r w:rsidR="00E31D11" w:rsidRPr="00A55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F327FB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Адреса и реквизиты Сторон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Концедент</w:t>
      </w:r>
      <w:proofErr w:type="spellEnd"/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Концессионер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B35643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F327FB" w:rsidRPr="00A55330" w:rsidRDefault="0071073C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327FB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EFE" w:rsidRPr="00A55330" w:rsidRDefault="00C95EFE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EFE" w:rsidRPr="00A55330" w:rsidRDefault="00C95EFE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EFE" w:rsidRPr="00A55330" w:rsidRDefault="00C95EFE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7FB" w:rsidRPr="00A55330" w:rsidRDefault="00F327FB" w:rsidP="0071073C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</w:t>
      </w:r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proofErr w:type="spellStart"/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Концедента</w:t>
      </w:r>
      <w:proofErr w:type="spellEnd"/>
      <w:proofErr w:type="gramStart"/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1073C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 Концессионера </w:t>
      </w:r>
    </w:p>
    <w:p w:rsidR="00F327FB" w:rsidRPr="00A55330" w:rsidRDefault="00F327FB" w:rsidP="00B35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024" w:rsidRPr="00A55330" w:rsidRDefault="00F327FB" w:rsidP="00926195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3C0A1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3C0A13" w:rsidRPr="00A55330" w:rsidRDefault="009F7024" w:rsidP="00926195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3C0A1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концессионному соглашени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3C0A1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имущества муниципального образования город Владикавказ</w:t>
      </w: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копий документов,</w:t>
      </w:r>
    </w:p>
    <w:p w:rsidR="00F327FB" w:rsidRPr="00A55330" w:rsidRDefault="00396132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подтверждающих </w:t>
      </w:r>
      <w:r w:rsidR="00F327FB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собственности </w:t>
      </w:r>
      <w:r w:rsidR="002A52A0"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концедента на объект Соглашения, а также документов, подтверждающих постановку объекта Соглашения на государственный кадастровый учет</w:t>
      </w: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132" w:rsidRPr="00A55330" w:rsidRDefault="00C95EFE" w:rsidP="00B35643">
      <w:pPr>
        <w:pStyle w:val="ad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государственной регистрации права N 15 АБ  018201 от "27" февраля 2013г., (повторное, взамен свидетельства: 15-АБ №018201, дата выдачи 22.05.2012) выдано Управлением Федеральной службы государственной регистрации, кадастра и картографии по Республике Северная Осетия-Алания.</w:t>
      </w:r>
    </w:p>
    <w:p w:rsidR="00C95EFE" w:rsidRPr="00A55330" w:rsidRDefault="00C95EFE" w:rsidP="00B35643">
      <w:pPr>
        <w:pStyle w:val="ad"/>
        <w:numPr>
          <w:ilvl w:val="0"/>
          <w:numId w:val="11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государственной регистрации права N 15 АБ  018214 от "22" мая 2012г., выдано Управлением Федеральной службы государственной регистрации, кадастра и картографии по Республике Северная Осетия-Алания.</w:t>
      </w:r>
    </w:p>
    <w:p w:rsidR="00C95EFE" w:rsidRPr="00A55330" w:rsidRDefault="00C95EFE" w:rsidP="00B35643">
      <w:pPr>
        <w:pStyle w:val="ad"/>
        <w:numPr>
          <w:ilvl w:val="0"/>
          <w:numId w:val="11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от «28» августа 2012 года;</w:t>
      </w:r>
    </w:p>
    <w:p w:rsidR="00C95EFE" w:rsidRPr="00A55330" w:rsidRDefault="00C95EFE" w:rsidP="00B35643">
      <w:pPr>
        <w:pStyle w:val="ad"/>
        <w:numPr>
          <w:ilvl w:val="0"/>
          <w:numId w:val="11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от «10» марта 2010 года;</w:t>
      </w:r>
    </w:p>
    <w:p w:rsidR="00396132" w:rsidRPr="00A55330" w:rsidRDefault="00396132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132" w:rsidRPr="00A55330" w:rsidRDefault="00F327FB" w:rsidP="00926195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39613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C95EFE" w:rsidRPr="00A55330" w:rsidRDefault="00C95EFE" w:rsidP="00926195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 концессионному соглашени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</w:p>
    <w:p w:rsidR="00C95EFE" w:rsidRPr="00A55330" w:rsidRDefault="00C95EFE" w:rsidP="00926195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имущества муниципального образования город Владикавказ</w:t>
      </w: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приема-передачи имущества</w:t>
      </w: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приема – передачи имущества</w:t>
      </w: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D8617D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613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39613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ладикавказ                  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619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 20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2619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F7024" w:rsidRPr="00A55330" w:rsidRDefault="009F7024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Комиссия в составе: </w:t>
      </w:r>
      <w:r w:rsidR="00D8617D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, с одной стороны</w:t>
      </w:r>
      <w:r w:rsidR="00D8617D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 ____________, с другой стороны, составили настоящий акт о нижеследующем: </w:t>
      </w:r>
    </w:p>
    <w:p w:rsidR="00F327FB" w:rsidRPr="00A55330" w:rsidRDefault="00D8617D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Н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 основании </w:t>
      </w:r>
      <w:r w:rsidR="0018117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к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онцессионного соглашения в отношении имущества муниципального образования город 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Владикавказ 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от ____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 w:rsidR="0018117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администрация 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местного самоуправления г</w:t>
      </w:r>
      <w:r w:rsidR="0018117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. В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ладикавказа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в лице </w:t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, действующе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го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основании Устава</w:t>
      </w:r>
      <w:r w:rsidR="00A9107C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город Владикавказ (Дзауджикау)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передает во временное владение и пользование, а _______________ </w:t>
      </w:r>
      <w:r w:rsidR="00F327F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принимает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</w:t>
      </w: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Настоящий документ подтверждает отсутствие претензий у </w:t>
      </w:r>
      <w:r w:rsidR="00D8617D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Сторон концессионного соглашения 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в отношении переданного имущества, указанного в настоящем акте.</w:t>
      </w:r>
    </w:p>
    <w:p w:rsidR="00D8617D" w:rsidRPr="00A55330" w:rsidRDefault="00D8617D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Подписи членов комиссии:                                                                                                       </w:t>
      </w: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__________________                   </w:t>
      </w:r>
    </w:p>
    <w:p w:rsidR="00F327FB" w:rsidRPr="00A55330" w:rsidRDefault="009F7024" w:rsidP="00926195">
      <w:pPr>
        <w:spacing w:after="0" w:line="240" w:lineRule="auto"/>
        <w:ind w:left="3539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F327FB" w:rsidRPr="00A55330" w:rsidRDefault="00926195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F327FB" w:rsidRPr="00A55330" w:rsidRDefault="00926195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F327FB" w:rsidRPr="00A55330" w:rsidRDefault="00926195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F327FB" w:rsidRPr="00A55330" w:rsidRDefault="00926195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F327FB" w:rsidRPr="00A55330" w:rsidRDefault="00F327FB" w:rsidP="00926195">
      <w:pPr>
        <w:spacing w:after="0" w:line="240" w:lineRule="auto"/>
        <w:ind w:left="3539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F327FB" w:rsidRPr="00A55330" w:rsidRDefault="00926195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F327FB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F327FB" w:rsidRPr="00A55330" w:rsidRDefault="00181174" w:rsidP="00926195">
      <w:pPr>
        <w:spacing w:after="0" w:line="240" w:lineRule="auto"/>
        <w:ind w:left="3539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181174" w:rsidRPr="00A55330" w:rsidRDefault="00181174" w:rsidP="00926195">
      <w:pPr>
        <w:spacing w:after="0" w:line="240" w:lineRule="auto"/>
        <w:ind w:left="3539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81174" w:rsidRPr="00A55330" w:rsidRDefault="00181174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_________</w:t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</w:t>
      </w:r>
      <w:r w:rsidR="00926195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«______» ________________ 20 ___  г.</w:t>
      </w: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Принял</w:t>
      </w:r>
      <w:r w:rsidR="0018117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D8617D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</w:t>
      </w:r>
      <w:r w:rsidR="00926195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«______» ________________  20</w:t>
      </w:r>
      <w:r w:rsidR="00A9107C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 w:rsidR="00A9107C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F7024" w:rsidRPr="00A55330">
        <w:rPr>
          <w:rFonts w:ascii="Times New Roman" w:eastAsia="Times New Roman" w:hAnsi="Times New Roman" w:cs="Times New Roman"/>
          <w:sz w:val="24"/>
          <w:szCs w:val="20"/>
          <w:lang w:eastAsia="ru-RU"/>
        </w:rPr>
        <w:t>г.</w:t>
      </w:r>
    </w:p>
    <w:p w:rsidR="00AF30D6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330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926195" w:rsidRPr="00A55330" w:rsidRDefault="00D8617D" w:rsidP="00926195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95EF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C95EF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5EFE" w:rsidRPr="00A55330" w:rsidRDefault="00C95EFE" w:rsidP="00926195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концессионному соглашени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26195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имущества муниципального образования город Владикавказ</w:t>
      </w: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имущества и его описание</w:t>
      </w: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 </w:t>
      </w:r>
    </w:p>
    <w:p w:rsidR="003235BF" w:rsidRPr="00A55330" w:rsidRDefault="003235BF" w:rsidP="00B35643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объекта:</w:t>
      </w:r>
    </w:p>
    <w:p w:rsidR="003235BF" w:rsidRPr="00A55330" w:rsidRDefault="003235BF" w:rsidP="00B35643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расположения (адрес): РСО-Алания, г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ладикавказ, ул. Кирова, 50/ул. Революции, 61;</w:t>
      </w:r>
    </w:p>
    <w:p w:rsidR="003235BF" w:rsidRPr="00A55330" w:rsidRDefault="003235BF" w:rsidP="00B35643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здания: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Общественное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235BF" w:rsidRPr="00A55330" w:rsidRDefault="003235BF" w:rsidP="00B35643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постройки: Ориентировочно конец </w:t>
      </w:r>
      <w:r w:rsidRPr="00A553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века;</w:t>
      </w:r>
    </w:p>
    <w:p w:rsidR="003235BF" w:rsidRPr="00A55330" w:rsidRDefault="003235BF" w:rsidP="00B35643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основных конструктивных элементов здания: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Фундаменты – Бутобетонные, ленточные. Глубина заложения от поверхности земли 1,0 м.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Стены – Несущие и ограждающие стены из глиняного кирпича толщ. 0,64м на сложном растворе.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Перекрытия – Разнотипные: монолитные железобетонные над первым этажом, деревянные по деревянным балкам над вторым этажом.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Кровля – Покрытие из кровельной листовой стали по деревянным стропилам.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Оконные заполнения – Деревянные.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Дверные заполнения – Деревянные.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Полы – Паркет, дощатые, керамическая плитка.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отделка - Штукатурка, окраска стен.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Наружная отделка – Стены кирпичные. Цоколь кирпичный и облицован тесаным камнем.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Инженерные системы внутреннего обеспечения – частично отсутствуют.</w:t>
      </w:r>
    </w:p>
    <w:p w:rsidR="003235BF" w:rsidRPr="00A55330" w:rsidRDefault="003235B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здания по внешнему виду – Категория технического состояния первого этажа – «работоспособное», категория технического состояния второго этажа – «ограничено работоспособное».</w:t>
      </w: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2742F" w:rsidRPr="00A55330" w:rsidRDefault="0072742F" w:rsidP="00BE7189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F327FB" w:rsidRPr="00A55330" w:rsidRDefault="009F7024" w:rsidP="00BE7189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95EFE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концессионному соглашени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BE718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имущества муниципального образования город Владикавказ</w:t>
      </w:r>
    </w:p>
    <w:p w:rsidR="00BE7189" w:rsidRPr="00A55330" w:rsidRDefault="00BE7189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189" w:rsidRPr="00A55330" w:rsidRDefault="00BE7189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и формы инвестиций в реконструкцию объекта Соглашения, технико-экономические показатели реконструированного объекта Соглашения:</w:t>
      </w:r>
    </w:p>
    <w:p w:rsidR="00AB532B" w:rsidRPr="00A55330" w:rsidRDefault="00AB532B" w:rsidP="00F60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8117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9C07D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включается в соответствии с конкурсным предложением)</w:t>
      </w:r>
    </w:p>
    <w:tbl>
      <w:tblPr>
        <w:tblStyle w:val="12"/>
        <w:tblW w:w="0" w:type="auto"/>
        <w:tblLook w:val="04A0"/>
      </w:tblPr>
      <w:tblGrid>
        <w:gridCol w:w="539"/>
        <w:gridCol w:w="4447"/>
        <w:gridCol w:w="2248"/>
        <w:gridCol w:w="2052"/>
      </w:tblGrid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55330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A55330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4768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Наименование показателей </w:t>
            </w:r>
          </w:p>
        </w:tc>
        <w:tc>
          <w:tcPr>
            <w:tcW w:w="2392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Ед. измерения</w:t>
            </w:r>
          </w:p>
        </w:tc>
        <w:tc>
          <w:tcPr>
            <w:tcW w:w="2154" w:type="dxa"/>
          </w:tcPr>
          <w:p w:rsidR="00AB532B" w:rsidRPr="00A55330" w:rsidRDefault="00AB532B" w:rsidP="00BE7189">
            <w:pPr>
              <w:ind w:hanging="4"/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Показатели</w:t>
            </w:r>
          </w:p>
        </w:tc>
      </w:tr>
      <w:tr w:rsidR="00AB532B" w:rsidRPr="00A55330" w:rsidTr="00AB532B">
        <w:tc>
          <w:tcPr>
            <w:tcW w:w="0" w:type="auto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0" w:type="auto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                   2</w:t>
            </w:r>
          </w:p>
        </w:tc>
        <w:tc>
          <w:tcPr>
            <w:tcW w:w="2392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       3</w:t>
            </w:r>
          </w:p>
        </w:tc>
        <w:tc>
          <w:tcPr>
            <w:tcW w:w="2154" w:type="dxa"/>
          </w:tcPr>
          <w:p w:rsidR="00AB532B" w:rsidRPr="00A55330" w:rsidRDefault="00AB532B" w:rsidP="00BE7189">
            <w:pPr>
              <w:ind w:hanging="4"/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      4</w:t>
            </w:r>
          </w:p>
        </w:tc>
      </w:tr>
      <w:tr w:rsidR="00AB532B" w:rsidRPr="00A55330" w:rsidTr="00AB532B">
        <w:tc>
          <w:tcPr>
            <w:tcW w:w="0" w:type="auto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0" w:type="auto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Площадь участка</w:t>
            </w:r>
          </w:p>
        </w:tc>
        <w:tc>
          <w:tcPr>
            <w:tcW w:w="2392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      га</w:t>
            </w:r>
          </w:p>
        </w:tc>
        <w:tc>
          <w:tcPr>
            <w:tcW w:w="2154" w:type="dxa"/>
          </w:tcPr>
          <w:p w:rsidR="00AB532B" w:rsidRPr="00A55330" w:rsidRDefault="00AB532B" w:rsidP="00BE7189">
            <w:pPr>
              <w:ind w:hanging="4"/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   0,033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4768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Площадь застройки</w:t>
            </w:r>
          </w:p>
        </w:tc>
        <w:tc>
          <w:tcPr>
            <w:tcW w:w="2392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shd w:val="clear" w:color="auto" w:fill="FFFFFF"/>
                <w:lang w:eastAsia="ru-RU" w:bidi="ru-RU"/>
              </w:rPr>
              <w:t xml:space="preserve">               м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shd w:val="clear" w:color="auto" w:fill="FFFFFF"/>
                <w:vertAlign w:val="superscript"/>
                <w:lang w:eastAsia="ru-RU" w:bidi="ru-RU"/>
              </w:rPr>
              <w:t>2</w:t>
            </w:r>
            <w:proofErr w:type="gramEnd"/>
          </w:p>
        </w:tc>
        <w:tc>
          <w:tcPr>
            <w:tcW w:w="2154" w:type="dxa"/>
          </w:tcPr>
          <w:p w:rsidR="00AB532B" w:rsidRPr="00A55330" w:rsidRDefault="00AB532B" w:rsidP="00BE7189">
            <w:pPr>
              <w:ind w:hanging="4"/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lang w:eastAsia="ru-RU" w:bidi="ru-RU"/>
              </w:rPr>
              <w:t xml:space="preserve">             268.4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4768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lang w:eastAsia="ru-RU" w:bidi="ru-RU"/>
              </w:rPr>
              <w:t xml:space="preserve"> Процент застройки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 xml:space="preserve">             </w:t>
            </w:r>
            <w:r w:rsidR="00C41D02"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 xml:space="preserve">  </w:t>
            </w: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%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 xml:space="preserve">  81.3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4768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Вместимость залов для посетителей</w:t>
            </w:r>
          </w:p>
        </w:tc>
        <w:tc>
          <w:tcPr>
            <w:tcW w:w="2392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  пос. мест</w:t>
            </w:r>
          </w:p>
        </w:tc>
        <w:tc>
          <w:tcPr>
            <w:tcW w:w="2154" w:type="dxa"/>
          </w:tcPr>
          <w:p w:rsidR="00AB532B" w:rsidRPr="00A55330" w:rsidRDefault="00AB532B" w:rsidP="00BE7189">
            <w:pPr>
              <w:ind w:hanging="4"/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     46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4768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Численность обслуживающего персонала</w:t>
            </w:r>
          </w:p>
        </w:tc>
        <w:tc>
          <w:tcPr>
            <w:tcW w:w="2392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      чел.</w:t>
            </w:r>
          </w:p>
        </w:tc>
        <w:tc>
          <w:tcPr>
            <w:tcW w:w="2154" w:type="dxa"/>
          </w:tcPr>
          <w:p w:rsidR="00AB532B" w:rsidRPr="00A55330" w:rsidRDefault="00AB532B" w:rsidP="00BE7189">
            <w:pPr>
              <w:ind w:hanging="4"/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 xml:space="preserve">               5</w:t>
            </w:r>
          </w:p>
        </w:tc>
      </w:tr>
      <w:tr w:rsidR="00AB532B" w:rsidRPr="00A55330" w:rsidTr="00AB532B">
        <w:tc>
          <w:tcPr>
            <w:tcW w:w="540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6.</w:t>
            </w:r>
          </w:p>
        </w:tc>
        <w:tc>
          <w:tcPr>
            <w:tcW w:w="4768" w:type="dxa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Режим работы:</w:t>
            </w:r>
          </w:p>
        </w:tc>
        <w:tc>
          <w:tcPr>
            <w:tcW w:w="2392" w:type="dxa"/>
            <w:vAlign w:val="bottom"/>
          </w:tcPr>
          <w:p w:rsidR="00AB532B" w:rsidRPr="00A55330" w:rsidRDefault="00C41D02" w:rsidP="00BE7189">
            <w:pPr>
              <w:widowControl w:val="0"/>
              <w:spacing w:line="230" w:lineRule="exact"/>
              <w:jc w:val="center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 xml:space="preserve"> </w:t>
            </w:r>
            <w:proofErr w:type="gramStart"/>
            <w:r w:rsidR="00AB532B"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см</w:t>
            </w:r>
            <w:proofErr w:type="gramEnd"/>
            <w:r w:rsidR="00AB532B"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 xml:space="preserve">               1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widowControl w:val="0"/>
              <w:rPr>
                <w:rFonts w:ascii="Times New Roman" w:eastAsia="Courier New" w:hAnsi="Times New Roman"/>
                <w:sz w:val="23"/>
                <w:szCs w:val="23"/>
                <w:lang w:bidi="ru-RU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- число смен</w:t>
            </w:r>
          </w:p>
        </w:tc>
        <w:tc>
          <w:tcPr>
            <w:tcW w:w="2392" w:type="dxa"/>
            <w:vAlign w:val="bottom"/>
          </w:tcPr>
          <w:p w:rsidR="00AB532B" w:rsidRPr="00A55330" w:rsidRDefault="00C41D02" w:rsidP="00BE7189">
            <w:pPr>
              <w:widowControl w:val="0"/>
              <w:spacing w:line="230" w:lineRule="exact"/>
              <w:jc w:val="center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 xml:space="preserve"> </w:t>
            </w:r>
            <w:r w:rsidR="00AB532B"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дн.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306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widowControl w:val="0"/>
              <w:rPr>
                <w:rFonts w:ascii="Times New Roman" w:eastAsia="Courier New" w:hAnsi="Times New Roman"/>
                <w:sz w:val="23"/>
                <w:szCs w:val="23"/>
                <w:lang w:bidi="ru-RU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- число рабочих дней в году</w:t>
            </w:r>
          </w:p>
        </w:tc>
        <w:tc>
          <w:tcPr>
            <w:tcW w:w="2392" w:type="dxa"/>
            <w:vAlign w:val="bottom"/>
          </w:tcPr>
          <w:p w:rsidR="00AB532B" w:rsidRPr="00A55330" w:rsidRDefault="00C41D02" w:rsidP="00BE7189">
            <w:pPr>
              <w:widowControl w:val="0"/>
              <w:spacing w:line="230" w:lineRule="exact"/>
              <w:jc w:val="center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 xml:space="preserve"> </w:t>
            </w:r>
            <w:r w:rsidR="00AB532B"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час.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shd w:val="clear" w:color="auto" w:fill="FFFFFF"/>
                <w:lang w:bidi="ru-RU"/>
              </w:rPr>
              <w:t>8</w:t>
            </w:r>
          </w:p>
        </w:tc>
      </w:tr>
      <w:tr w:rsidR="00AB532B" w:rsidRPr="00A55330" w:rsidTr="00AB532B">
        <w:tc>
          <w:tcPr>
            <w:tcW w:w="540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7.</w:t>
            </w: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Этажность (число надземных этажей)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эт.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1,2</w:t>
            </w:r>
          </w:p>
        </w:tc>
      </w:tr>
      <w:tr w:rsidR="00AB532B" w:rsidRPr="00A55330" w:rsidTr="00AB532B">
        <w:tc>
          <w:tcPr>
            <w:tcW w:w="540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8.</w:t>
            </w: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Общая площадь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bidi="ru-RU"/>
              </w:rPr>
              <w:t>м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bidi="ru-RU"/>
              </w:rPr>
              <w:t>2</w:t>
            </w:r>
            <w:proofErr w:type="gramEnd"/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532.8</w:t>
            </w:r>
          </w:p>
        </w:tc>
      </w:tr>
      <w:tr w:rsidR="00AB532B" w:rsidRPr="00A55330" w:rsidTr="00AB532B">
        <w:trPr>
          <w:trHeight w:val="104"/>
        </w:trPr>
        <w:tc>
          <w:tcPr>
            <w:tcW w:w="540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9.</w:t>
            </w: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Полезная площадь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bidi="ru-RU"/>
              </w:rPr>
              <w:t>м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bidi="ru-RU"/>
              </w:rPr>
              <w:t>2</w:t>
            </w:r>
            <w:proofErr w:type="gramEnd"/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471.7</w:t>
            </w:r>
          </w:p>
        </w:tc>
      </w:tr>
      <w:tr w:rsidR="00AB532B" w:rsidRPr="00A55330" w:rsidTr="00AB532B">
        <w:tc>
          <w:tcPr>
            <w:tcW w:w="540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10.</w:t>
            </w: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Строительный объем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м</w:t>
            </w:r>
            <w:r w:rsidRPr="00A55330"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 w:bidi="ru-RU"/>
              </w:rPr>
              <w:t>3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1708.8</w:t>
            </w:r>
          </w:p>
        </w:tc>
      </w:tr>
      <w:tr w:rsidR="00AB532B" w:rsidRPr="00A55330" w:rsidTr="00AB532B">
        <w:tc>
          <w:tcPr>
            <w:tcW w:w="540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11.</w:t>
            </w: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Продолжительность строительства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мес.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</w:rPr>
              <w:t>не более 5</w:t>
            </w:r>
          </w:p>
        </w:tc>
      </w:tr>
      <w:tr w:rsidR="00AB532B" w:rsidRPr="00A55330" w:rsidTr="00AB532B">
        <w:tc>
          <w:tcPr>
            <w:tcW w:w="540" w:type="dxa"/>
            <w:vAlign w:val="center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12.</w:t>
            </w: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69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Общая сметная стоимость строительства в базисном уровне цен 2001 г. (на 01.01.2000г.)</w:t>
            </w: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en-US"/>
              </w:rPr>
              <w:t xml:space="preserve"> </w:t>
            </w: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без НДС 18%:</w:t>
            </w:r>
          </w:p>
        </w:tc>
        <w:tc>
          <w:tcPr>
            <w:tcW w:w="2392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54" w:type="dxa"/>
          </w:tcPr>
          <w:p w:rsidR="00AB532B" w:rsidRPr="00A55330" w:rsidRDefault="00AB532B" w:rsidP="00BE7189">
            <w:pPr>
              <w:ind w:hanging="4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-строительно-монтажные работы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2 177,72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-оборудование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1 989,09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-прочие затраты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257,89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2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 w:bidi="ru-RU"/>
              </w:rPr>
              <w:t>Всего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2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 w:bidi="ru-RU"/>
              </w:rPr>
              <w:t>4 424,70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в том числе: возврат</w:t>
            </w:r>
          </w:p>
        </w:tc>
        <w:tc>
          <w:tcPr>
            <w:tcW w:w="2392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2154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4,52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</w:rPr>
              <w:t>13.</w:t>
            </w:r>
          </w:p>
        </w:tc>
        <w:tc>
          <w:tcPr>
            <w:tcW w:w="4768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  <w:r w:rsidRPr="00A55330">
              <w:rPr>
                <w:rFonts w:ascii="Times New Roman" w:hAnsi="Times New Roman"/>
                <w:sz w:val="23"/>
                <w:szCs w:val="23"/>
                <w:lang w:eastAsia="ru-RU" w:bidi="ru-RU"/>
              </w:rPr>
              <w:t xml:space="preserve">  Общая сметная стоимость строительства в   текущем уровне цен по состоянию на I- квартал 2013г. с НДС 18%:</w:t>
            </w:r>
          </w:p>
        </w:tc>
        <w:tc>
          <w:tcPr>
            <w:tcW w:w="2392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AB532B" w:rsidRPr="00A55330" w:rsidRDefault="00AB532B" w:rsidP="00BE7189">
            <w:pPr>
              <w:ind w:hanging="4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-строительно-монтажные работы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16 337,58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-оборудование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8 496,60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-прочие затраты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2 082,37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2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 w:bidi="ru-RU"/>
              </w:rPr>
              <w:t>Всего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2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 w:bidi="ru-RU"/>
              </w:rPr>
              <w:t>26 916,55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в том числе:</w:t>
            </w:r>
          </w:p>
        </w:tc>
        <w:tc>
          <w:tcPr>
            <w:tcW w:w="0" w:type="auto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AB532B" w:rsidRPr="00A55330" w:rsidRDefault="00AB532B" w:rsidP="00BE7189">
            <w:pPr>
              <w:ind w:hanging="4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-НДС 18%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4 105,91</w:t>
            </w:r>
          </w:p>
        </w:tc>
      </w:tr>
      <w:tr w:rsidR="00AB532B" w:rsidRPr="00A55330" w:rsidTr="00AB532B">
        <w:tc>
          <w:tcPr>
            <w:tcW w:w="540" w:type="dxa"/>
          </w:tcPr>
          <w:p w:rsidR="00AB532B" w:rsidRPr="00A55330" w:rsidRDefault="00AB532B" w:rsidP="00BE718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68" w:type="dxa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- возврат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тыс</w:t>
            </w:r>
            <w:proofErr w:type="gramStart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.р</w:t>
            </w:r>
            <w:proofErr w:type="gramEnd"/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уб.</w:t>
            </w:r>
          </w:p>
        </w:tc>
        <w:tc>
          <w:tcPr>
            <w:tcW w:w="0" w:type="auto"/>
            <w:vAlign w:val="bottom"/>
          </w:tcPr>
          <w:p w:rsidR="00AB532B" w:rsidRPr="00A55330" w:rsidRDefault="00AB532B" w:rsidP="00BE7189">
            <w:pPr>
              <w:widowControl w:val="0"/>
              <w:spacing w:line="230" w:lineRule="exact"/>
              <w:ind w:hanging="4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55330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33,88</w:t>
            </w:r>
          </w:p>
        </w:tc>
      </w:tr>
    </w:tbl>
    <w:p w:rsidR="00AB532B" w:rsidRPr="00A55330" w:rsidRDefault="00AB532B" w:rsidP="00B35643">
      <w:pPr>
        <w:ind w:firstLine="709"/>
        <w:rPr>
          <w:rFonts w:ascii="Calibri" w:eastAsia="Calibri" w:hAnsi="Calibri" w:cs="Times New Roman"/>
          <w:sz w:val="23"/>
          <w:szCs w:val="23"/>
        </w:rPr>
      </w:pPr>
    </w:p>
    <w:p w:rsidR="00BE7189" w:rsidRPr="00A55330" w:rsidRDefault="00BE7189" w:rsidP="00B35643">
      <w:pPr>
        <w:ind w:firstLine="709"/>
        <w:rPr>
          <w:rFonts w:ascii="Calibri" w:eastAsia="Calibri" w:hAnsi="Calibri" w:cs="Times New Roman"/>
          <w:sz w:val="23"/>
          <w:szCs w:val="23"/>
        </w:rPr>
      </w:pPr>
    </w:p>
    <w:p w:rsidR="00BE7189" w:rsidRPr="00A55330" w:rsidRDefault="00BE7189" w:rsidP="00B35643">
      <w:pPr>
        <w:ind w:firstLine="709"/>
        <w:rPr>
          <w:rFonts w:ascii="Calibri" w:eastAsia="Calibri" w:hAnsi="Calibri" w:cs="Times New Roman"/>
          <w:sz w:val="23"/>
          <w:szCs w:val="23"/>
        </w:rPr>
      </w:pPr>
    </w:p>
    <w:p w:rsidR="00BE7189" w:rsidRPr="00A55330" w:rsidRDefault="00BE7189" w:rsidP="00B35643">
      <w:pPr>
        <w:ind w:firstLine="709"/>
        <w:rPr>
          <w:rFonts w:ascii="Calibri" w:eastAsia="Calibri" w:hAnsi="Calibri" w:cs="Times New Roman"/>
          <w:sz w:val="23"/>
          <w:szCs w:val="23"/>
        </w:rPr>
      </w:pPr>
    </w:p>
    <w:p w:rsidR="00BE7189" w:rsidRPr="00A55330" w:rsidRDefault="00BE7189" w:rsidP="00B35643">
      <w:pPr>
        <w:ind w:firstLine="709"/>
        <w:rPr>
          <w:rFonts w:ascii="Calibri" w:eastAsia="Calibri" w:hAnsi="Calibri" w:cs="Times New Roman"/>
          <w:sz w:val="23"/>
          <w:szCs w:val="23"/>
        </w:rPr>
      </w:pPr>
    </w:p>
    <w:p w:rsidR="00C41D02" w:rsidRPr="00A55330" w:rsidRDefault="00C41D02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9C07D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C41D02" w:rsidRPr="00A55330" w:rsidRDefault="00C41D02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 концессионному соглашению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имущества муниципального образования город Владикавказ</w:t>
      </w:r>
    </w:p>
    <w:p w:rsidR="00AB532B" w:rsidRPr="00A55330" w:rsidRDefault="00AB532B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1D02" w:rsidRPr="00A55330" w:rsidRDefault="00C41D02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Состояние объекта Соглашения при возврате его концеденту</w:t>
      </w:r>
    </w:p>
    <w:p w:rsidR="00C41D02" w:rsidRPr="00A55330" w:rsidRDefault="00C41D02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D02" w:rsidRPr="00A55330" w:rsidRDefault="006E4F47" w:rsidP="00BE71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(Литер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</w:t>
      </w:r>
      <w:r w:rsidR="00C41D0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C41D02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в состоянии, не тр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ебующем косметического ремонта.</w:t>
      </w:r>
    </w:p>
    <w:p w:rsidR="00C41D02" w:rsidRPr="00A55330" w:rsidRDefault="00C41D02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Инженерные коммуникации: водопровод, канализация, система отопления, электропроводка в исправном состоянии.</w:t>
      </w:r>
    </w:p>
    <w:p w:rsidR="00C41D02" w:rsidRPr="00A55330" w:rsidRDefault="00C41D02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в исправном состоянии.</w:t>
      </w:r>
    </w:p>
    <w:p w:rsidR="00AB532B" w:rsidRPr="00A55330" w:rsidRDefault="00C41D02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A152F" w:rsidRPr="00A55330" w:rsidRDefault="00CA152F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9C07D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CA152F" w:rsidRPr="00A55330" w:rsidRDefault="00CA152F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 концессионному соглашению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имущества муниципального образования город Владикавказ</w:t>
      </w: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предоставления концессионером информации</w:t>
      </w: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исполнении обязательств по Соглашению и рассмотрения ее концедентом. </w:t>
      </w:r>
    </w:p>
    <w:p w:rsidR="00CA152F" w:rsidRPr="00A55330" w:rsidRDefault="00CA152F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 обязуется не позднее 5 (пяти) рабочих дней с момента получения от концедента запроса относительно исполнения концессионером обязательств по настоящему Соглашению, предоставлять концеденту информацию об исполнении обязательств по Соглашению в письменном виде.</w:t>
      </w:r>
    </w:p>
    <w:p w:rsidR="00AB532B" w:rsidRPr="00A55330" w:rsidRDefault="00CA152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 в течение 5 (пяти) рабочих дней обязан рассмотреть информацию, представленную концессионером, при необходимости осуществить контроль с выходом на место нахождения объекта Соглашения.</w:t>
      </w:r>
    </w:p>
    <w:p w:rsidR="00AB532B" w:rsidRPr="00A55330" w:rsidRDefault="00AB532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32B" w:rsidRPr="00A55330" w:rsidRDefault="00AB532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1D02" w:rsidRPr="00A55330" w:rsidRDefault="00C41D02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9C07D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CA152F" w:rsidRPr="00A55330" w:rsidRDefault="00CA152F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 концессионному соглашению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имущества муниципального образования город Владикавказ</w:t>
      </w:r>
    </w:p>
    <w:p w:rsidR="00C41D02" w:rsidRPr="00A55330" w:rsidRDefault="00C41D02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1D02" w:rsidRPr="00A55330" w:rsidRDefault="00C41D02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конфиденциального характера или являющиеся коммерческой тайной</w:t>
      </w: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(устанавливаются по результатам проведения переговоров </w:t>
      </w:r>
      <w:proofErr w:type="gramEnd"/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Соглашения)</w:t>
      </w: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DDE" w:rsidRPr="00A55330" w:rsidRDefault="00F60DDE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52F" w:rsidRPr="00A55330" w:rsidRDefault="00CA152F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9C07D7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CA152F" w:rsidRPr="00A55330" w:rsidRDefault="00CA152F" w:rsidP="00F60DDE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 концессионному соглашению</w:t>
      </w:r>
      <w:r w:rsidR="009F7024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имущества муниципального образования город Владикавказ</w:t>
      </w: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52F" w:rsidRPr="00A55330" w:rsidRDefault="00CA152F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возмещения убытков,</w:t>
      </w: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возникших</w:t>
      </w:r>
      <w:proofErr w:type="gramEnd"/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результате неисполнения или ненадлежащего</w:t>
      </w:r>
    </w:p>
    <w:p w:rsidR="00F327FB" w:rsidRPr="00A55330" w:rsidRDefault="00F327FB" w:rsidP="00B35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исполнения Сторонами обязательств по Соглашению.</w:t>
      </w:r>
    </w:p>
    <w:p w:rsidR="00F327FB" w:rsidRPr="00A55330" w:rsidRDefault="00F327FB" w:rsidP="00B356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54E" w:rsidRPr="00A55330" w:rsidRDefault="005F354E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потребовать от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онцессионера возмещения убытков, возникших в результате неисполнения или ненадлежащего исполнения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онцессионером обязательств по </w:t>
      </w:r>
      <w:r w:rsidR="0004213B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174C3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предоставив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онцессионеру обоснование размера убытков.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онцессионер в течение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20 (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двадцати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производит проверку представленных материалов, их обоснованность. При отсутствии претензий к представленным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онцедентом документам</w:t>
      </w:r>
      <w:r w:rsidR="00D83BB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онцессионер в течени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10 (</w:t>
      </w:r>
      <w:r w:rsidR="007274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74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окончания проверки обязан возместить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онцеденту понесенные убытки.</w:t>
      </w:r>
    </w:p>
    <w:p w:rsidR="00F327FB" w:rsidRPr="00A55330" w:rsidRDefault="00F327F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Концессионер вправе потребовать от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онцедента возмещения убытков, возникших в результате неисполнения или ненадлежащего исполнения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онцедентом обязательств по Соглашению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предоставив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онцеденту обоснование размера убытков. Концедент в течение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20 (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двадцати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производит проверку представленных материалов, их обоснованность. При отсутствии претензий к представленным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онцес</w:t>
      </w:r>
      <w:r w:rsidR="00D83BB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сионером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</w:t>
      </w:r>
      <w:r w:rsidR="00D83BB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5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</w:t>
      </w:r>
      <w:r w:rsidR="00D83BB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</w:t>
      </w:r>
      <w:r w:rsidR="00D83BB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окончания проверки </w:t>
      </w:r>
      <w:proofErr w:type="gramStart"/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возместить </w:t>
      </w:r>
      <w:r w:rsidR="008869AD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</w:t>
      </w:r>
      <w:r w:rsidR="00D83BB9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ссионеру </w:t>
      </w:r>
      <w:r w:rsidR="003235B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понесенные убытки.</w:t>
      </w:r>
    </w:p>
    <w:p w:rsidR="0004213B" w:rsidRPr="00A55330" w:rsidRDefault="0004213B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возмещения расходов сторон в случае досрочного расторжения</w:t>
      </w:r>
      <w:r w:rsidR="008D581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(прекращения)</w:t>
      </w: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концессионного соглашения.</w:t>
      </w:r>
      <w:bookmarkStart w:id="23" w:name="_GoBack"/>
      <w:bookmarkEnd w:id="23"/>
    </w:p>
    <w:p w:rsidR="0004213B" w:rsidRPr="00A55330" w:rsidRDefault="0004213B" w:rsidP="00B35643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досрочного расторжения концессионного соглашения по инициативе концессионера, а также по причине неисполнения или ненадлежащего исполнения концессионером обязательств по концессионному соглашению, концессионер возмещает концеденту расходы, связанные с организацией и проведением конкурса, для заключения нового концессионного соглашения по объекту концессионного соглашения, проведением повторных торгов, а также иные, предусмотренные законодательством РФ убытки.</w:t>
      </w:r>
      <w:proofErr w:type="gramEnd"/>
    </w:p>
    <w:p w:rsidR="0004213B" w:rsidRPr="00A55330" w:rsidRDefault="0004213B" w:rsidP="00B35643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досрочного расторжения концессионного соглашения по инициативе концедента, а также по причине неисполнения или ненадлежащего исполнения концедентом обязательств по концессионному соглашения, концедент возмещает концессионеру расходы на реконструкцию объекта концессионного соглашения, а также иные, предусмотренные законодательством РФ убытки.</w:t>
      </w:r>
      <w:proofErr w:type="gramEnd"/>
    </w:p>
    <w:p w:rsidR="005F354E" w:rsidRPr="00A55330" w:rsidRDefault="005F354E" w:rsidP="00B35643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поступившего от концессионера письменного заявления требований о возмещении расходов на реконструкцию объекта концессионного соглашения с документально подтвержденным обоснованием</w:t>
      </w:r>
      <w:proofErr w:type="gram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произведенных затрат, производит в течение 10 (десяти) рабочих дней проверку представленных материалов, их обоснованность. </w:t>
      </w:r>
    </w:p>
    <w:p w:rsidR="005F354E" w:rsidRPr="00A55330" w:rsidRDefault="005F354E" w:rsidP="00B35643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претензий к представленным концессионером документам, </w:t>
      </w:r>
      <w:proofErr w:type="spellStart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20 (двадцати) рабочих дней с даты получения указанного письменного заявления требований о возмещении расходов на реконструкцию объекта концессионного соглашения, обязан возместить концессионеру расходы на реконструкцию объекта концессионного соглашения безналичным путем по реквизитам указанным в заявлении концессионера.</w:t>
      </w:r>
      <w:proofErr w:type="gramEnd"/>
    </w:p>
    <w:p w:rsidR="0004213B" w:rsidRPr="00A55330" w:rsidRDefault="0004213B" w:rsidP="00B35643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Документы, которые могут подтверждать расходы концессионера на реконструкцию объекта концессионного соглашения:</w:t>
      </w:r>
    </w:p>
    <w:p w:rsidR="0004213B" w:rsidRPr="00A55330" w:rsidRDefault="0004213B" w:rsidP="00B3564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договоры на выполнение работ, </w:t>
      </w:r>
    </w:p>
    <w:p w:rsidR="0004213B" w:rsidRPr="00A55330" w:rsidRDefault="0004213B" w:rsidP="00B3564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выполненных работ КС-1, КС-2,</w:t>
      </w:r>
    </w:p>
    <w:p w:rsidR="0004213B" w:rsidRPr="00A55330" w:rsidRDefault="0004213B" w:rsidP="00B35643">
      <w:pPr>
        <w:pStyle w:val="ad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бухгалтерские документы: накладные, счета-фактуры, платежные документы (платежные поручения, кассовый ордер),</w:t>
      </w:r>
    </w:p>
    <w:p w:rsidR="008D581F" w:rsidRPr="00A55330" w:rsidRDefault="0004213B" w:rsidP="00B3564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проектно-сметная документация,</w:t>
      </w:r>
    </w:p>
    <w:p w:rsidR="0072742F" w:rsidRPr="00A55330" w:rsidRDefault="0004213B" w:rsidP="00B3564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наряды на выполнение работ.</w:t>
      </w:r>
      <w:r w:rsidR="0072742F"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742F" w:rsidRPr="00A55330" w:rsidRDefault="0072742F" w:rsidP="00B35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C3C20" w:rsidRPr="00A55330" w:rsidRDefault="00CC3C20" w:rsidP="00B35643">
      <w:pPr>
        <w:ind w:firstLine="709"/>
      </w:pPr>
    </w:p>
    <w:sectPr w:rsidR="00CC3C20" w:rsidRPr="00A55330" w:rsidSect="00F327FB">
      <w:pgSz w:w="11906" w:h="16838" w:code="9"/>
      <w:pgMar w:top="1134" w:right="1418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6A16"/>
    <w:multiLevelType w:val="multilevel"/>
    <w:tmpl w:val="A7864428"/>
    <w:lvl w:ilvl="0">
      <w:start w:val="8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">
    <w:nsid w:val="1905074F"/>
    <w:multiLevelType w:val="hybridMultilevel"/>
    <w:tmpl w:val="4D8674EC"/>
    <w:lvl w:ilvl="0" w:tplc="8DC41BBC">
      <w:start w:val="7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577E7B"/>
    <w:multiLevelType w:val="hybridMultilevel"/>
    <w:tmpl w:val="3236C3EA"/>
    <w:lvl w:ilvl="0" w:tplc="6B5C1BE2">
      <w:start w:val="92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3040A34"/>
    <w:multiLevelType w:val="hybridMultilevel"/>
    <w:tmpl w:val="058E8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E1ED2"/>
    <w:multiLevelType w:val="multilevel"/>
    <w:tmpl w:val="C8F63C4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27257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72B5E69"/>
    <w:multiLevelType w:val="hybridMultilevel"/>
    <w:tmpl w:val="377AB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9C7370"/>
    <w:multiLevelType w:val="multilevel"/>
    <w:tmpl w:val="E662E50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720"/>
      </w:pPr>
    </w:lvl>
    <w:lvl w:ilvl="2">
      <w:start w:val="1"/>
      <w:numFmt w:val="decimal"/>
      <w:lvlText w:val="%1.%2.%3."/>
      <w:lvlJc w:val="left"/>
      <w:pPr>
        <w:tabs>
          <w:tab w:val="num" w:pos="2580"/>
        </w:tabs>
        <w:ind w:left="2580" w:hanging="720"/>
      </w:pPr>
    </w:lvl>
    <w:lvl w:ilvl="3">
      <w:start w:val="1"/>
      <w:numFmt w:val="decimal"/>
      <w:lvlText w:val="%1.%2.%3.%4."/>
      <w:lvlJc w:val="left"/>
      <w:pPr>
        <w:tabs>
          <w:tab w:val="num" w:pos="3870"/>
        </w:tabs>
        <w:ind w:left="3870" w:hanging="1080"/>
      </w:pPr>
    </w:lvl>
    <w:lvl w:ilvl="4">
      <w:start w:val="1"/>
      <w:numFmt w:val="decimal"/>
      <w:lvlText w:val="%1.%2.%3.%4.%5."/>
      <w:lvlJc w:val="left"/>
      <w:pPr>
        <w:tabs>
          <w:tab w:val="num" w:pos="4800"/>
        </w:tabs>
        <w:ind w:left="4800" w:hanging="1080"/>
      </w:pPr>
    </w:lvl>
    <w:lvl w:ilvl="5">
      <w:start w:val="1"/>
      <w:numFmt w:val="decimal"/>
      <w:lvlText w:val="%1.%2.%3.%4.%5.%6."/>
      <w:lvlJc w:val="left"/>
      <w:pPr>
        <w:tabs>
          <w:tab w:val="num" w:pos="6090"/>
        </w:tabs>
        <w:ind w:left="60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310"/>
        </w:tabs>
        <w:ind w:left="83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600"/>
        </w:tabs>
        <w:ind w:left="9600" w:hanging="2160"/>
      </w:pPr>
    </w:lvl>
  </w:abstractNum>
  <w:abstractNum w:abstractNumId="8">
    <w:nsid w:val="48FA51F9"/>
    <w:multiLevelType w:val="hybridMultilevel"/>
    <w:tmpl w:val="CD12D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BE4B0D"/>
    <w:multiLevelType w:val="hybridMultilevel"/>
    <w:tmpl w:val="CDC21F0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DCA7DFC"/>
    <w:multiLevelType w:val="singleLevel"/>
    <w:tmpl w:val="0EC049DE"/>
    <w:lvl w:ilvl="0">
      <w:start w:val="9"/>
      <w:numFmt w:val="decimal"/>
      <w:lvlText w:val="%1."/>
      <w:lvlJc w:val="left"/>
      <w:pPr>
        <w:tabs>
          <w:tab w:val="num" w:pos="3180"/>
        </w:tabs>
        <w:ind w:left="3180" w:hanging="360"/>
      </w:pPr>
      <w:rPr>
        <w:rFonts w:hint="default"/>
      </w:rPr>
    </w:lvl>
  </w:abstractNum>
  <w:abstractNum w:abstractNumId="11">
    <w:nsid w:val="4F331E9B"/>
    <w:multiLevelType w:val="hybridMultilevel"/>
    <w:tmpl w:val="78F26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C97A81"/>
    <w:multiLevelType w:val="hybridMultilevel"/>
    <w:tmpl w:val="D8ACD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332B20"/>
    <w:multiLevelType w:val="hybridMultilevel"/>
    <w:tmpl w:val="27FC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906A44"/>
    <w:multiLevelType w:val="hybridMultilevel"/>
    <w:tmpl w:val="F1644B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1479D8"/>
    <w:multiLevelType w:val="hybridMultilevel"/>
    <w:tmpl w:val="D520D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C417C8"/>
    <w:multiLevelType w:val="multilevel"/>
    <w:tmpl w:val="92AC6EE0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17">
    <w:nsid w:val="7FC50837"/>
    <w:multiLevelType w:val="hybridMultilevel"/>
    <w:tmpl w:val="83C6D7CE"/>
    <w:lvl w:ilvl="0" w:tplc="D8FAB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5"/>
  </w:num>
  <w:num w:numId="9">
    <w:abstractNumId w:val="2"/>
  </w:num>
  <w:num w:numId="10">
    <w:abstractNumId w:val="1"/>
  </w:num>
  <w:num w:numId="11">
    <w:abstractNumId w:val="3"/>
  </w:num>
  <w:num w:numId="12">
    <w:abstractNumId w:val="17"/>
  </w:num>
  <w:num w:numId="13">
    <w:abstractNumId w:val="8"/>
  </w:num>
  <w:num w:numId="14">
    <w:abstractNumId w:val="14"/>
  </w:num>
  <w:num w:numId="15">
    <w:abstractNumId w:val="9"/>
  </w:num>
  <w:num w:numId="16">
    <w:abstractNumId w:val="11"/>
  </w:num>
  <w:num w:numId="17">
    <w:abstractNumId w:val="13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7FB"/>
    <w:rsid w:val="00006FC5"/>
    <w:rsid w:val="000174C3"/>
    <w:rsid w:val="0004213B"/>
    <w:rsid w:val="00056008"/>
    <w:rsid w:val="000636C8"/>
    <w:rsid w:val="00072AE0"/>
    <w:rsid w:val="001645B7"/>
    <w:rsid w:val="00166978"/>
    <w:rsid w:val="0017749F"/>
    <w:rsid w:val="00181174"/>
    <w:rsid w:val="001814FC"/>
    <w:rsid w:val="00296417"/>
    <w:rsid w:val="002A52A0"/>
    <w:rsid w:val="002A5BA2"/>
    <w:rsid w:val="002B545D"/>
    <w:rsid w:val="002B7A8C"/>
    <w:rsid w:val="0030184F"/>
    <w:rsid w:val="00314C94"/>
    <w:rsid w:val="003235BF"/>
    <w:rsid w:val="0032576C"/>
    <w:rsid w:val="00334584"/>
    <w:rsid w:val="0034466B"/>
    <w:rsid w:val="003848EB"/>
    <w:rsid w:val="00396132"/>
    <w:rsid w:val="003C0A13"/>
    <w:rsid w:val="003D2F7A"/>
    <w:rsid w:val="00420526"/>
    <w:rsid w:val="00425C0D"/>
    <w:rsid w:val="00472398"/>
    <w:rsid w:val="004C486F"/>
    <w:rsid w:val="004D123B"/>
    <w:rsid w:val="004F2A8F"/>
    <w:rsid w:val="00557997"/>
    <w:rsid w:val="00596A5E"/>
    <w:rsid w:val="005A127F"/>
    <w:rsid w:val="005B051A"/>
    <w:rsid w:val="005B160A"/>
    <w:rsid w:val="005C3A65"/>
    <w:rsid w:val="005C5E01"/>
    <w:rsid w:val="005D1F40"/>
    <w:rsid w:val="005D2A30"/>
    <w:rsid w:val="005F354E"/>
    <w:rsid w:val="005F75E3"/>
    <w:rsid w:val="0066230D"/>
    <w:rsid w:val="00663ED3"/>
    <w:rsid w:val="006C34F9"/>
    <w:rsid w:val="006E4F47"/>
    <w:rsid w:val="0071073C"/>
    <w:rsid w:val="0072742F"/>
    <w:rsid w:val="00764522"/>
    <w:rsid w:val="00765EB5"/>
    <w:rsid w:val="007C63A6"/>
    <w:rsid w:val="0081104A"/>
    <w:rsid w:val="0083751F"/>
    <w:rsid w:val="00845047"/>
    <w:rsid w:val="008559BE"/>
    <w:rsid w:val="00865B50"/>
    <w:rsid w:val="008869AD"/>
    <w:rsid w:val="008B2932"/>
    <w:rsid w:val="008B7ABD"/>
    <w:rsid w:val="008D20D0"/>
    <w:rsid w:val="008D581F"/>
    <w:rsid w:val="008D68B5"/>
    <w:rsid w:val="008F4FB7"/>
    <w:rsid w:val="00901960"/>
    <w:rsid w:val="009022C3"/>
    <w:rsid w:val="009070A1"/>
    <w:rsid w:val="009123B1"/>
    <w:rsid w:val="009254C7"/>
    <w:rsid w:val="00926195"/>
    <w:rsid w:val="00934427"/>
    <w:rsid w:val="00941363"/>
    <w:rsid w:val="00942C40"/>
    <w:rsid w:val="00965BAC"/>
    <w:rsid w:val="00983F2F"/>
    <w:rsid w:val="00985643"/>
    <w:rsid w:val="00995867"/>
    <w:rsid w:val="009C07D7"/>
    <w:rsid w:val="009E1AD3"/>
    <w:rsid w:val="009E747F"/>
    <w:rsid w:val="009F7024"/>
    <w:rsid w:val="00A17969"/>
    <w:rsid w:val="00A55330"/>
    <w:rsid w:val="00A819E1"/>
    <w:rsid w:val="00A9107C"/>
    <w:rsid w:val="00AA1D92"/>
    <w:rsid w:val="00AB532B"/>
    <w:rsid w:val="00AB62F4"/>
    <w:rsid w:val="00AE4184"/>
    <w:rsid w:val="00AF2B66"/>
    <w:rsid w:val="00AF30D6"/>
    <w:rsid w:val="00AF7FB9"/>
    <w:rsid w:val="00B35643"/>
    <w:rsid w:val="00B46457"/>
    <w:rsid w:val="00B81BB4"/>
    <w:rsid w:val="00BB28DD"/>
    <w:rsid w:val="00BC2C86"/>
    <w:rsid w:val="00BC5645"/>
    <w:rsid w:val="00BE7189"/>
    <w:rsid w:val="00C1656B"/>
    <w:rsid w:val="00C22719"/>
    <w:rsid w:val="00C35E01"/>
    <w:rsid w:val="00C41D02"/>
    <w:rsid w:val="00C5458B"/>
    <w:rsid w:val="00C61172"/>
    <w:rsid w:val="00C80943"/>
    <w:rsid w:val="00C95EFE"/>
    <w:rsid w:val="00C963F6"/>
    <w:rsid w:val="00CA152F"/>
    <w:rsid w:val="00CB39DB"/>
    <w:rsid w:val="00CC3C20"/>
    <w:rsid w:val="00CD3F9B"/>
    <w:rsid w:val="00D00353"/>
    <w:rsid w:val="00D11118"/>
    <w:rsid w:val="00D15B64"/>
    <w:rsid w:val="00D54FF7"/>
    <w:rsid w:val="00D83BB9"/>
    <w:rsid w:val="00D8617D"/>
    <w:rsid w:val="00DA20DF"/>
    <w:rsid w:val="00DB4EB0"/>
    <w:rsid w:val="00DE48BA"/>
    <w:rsid w:val="00DF7C45"/>
    <w:rsid w:val="00E03FCC"/>
    <w:rsid w:val="00E05349"/>
    <w:rsid w:val="00E20068"/>
    <w:rsid w:val="00E23067"/>
    <w:rsid w:val="00E31D11"/>
    <w:rsid w:val="00E34FC7"/>
    <w:rsid w:val="00EA0239"/>
    <w:rsid w:val="00EB0DD4"/>
    <w:rsid w:val="00EB17CE"/>
    <w:rsid w:val="00F03799"/>
    <w:rsid w:val="00F327FB"/>
    <w:rsid w:val="00F402AD"/>
    <w:rsid w:val="00F47902"/>
    <w:rsid w:val="00F51E2E"/>
    <w:rsid w:val="00F60DDE"/>
    <w:rsid w:val="00F67F5A"/>
    <w:rsid w:val="00F76EEB"/>
    <w:rsid w:val="00F945E8"/>
    <w:rsid w:val="00F96DD1"/>
    <w:rsid w:val="00FC2E7E"/>
    <w:rsid w:val="00FF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ED3"/>
  </w:style>
  <w:style w:type="paragraph" w:styleId="1">
    <w:name w:val="heading 1"/>
    <w:basedOn w:val="a"/>
    <w:next w:val="a"/>
    <w:link w:val="10"/>
    <w:qFormat/>
    <w:rsid w:val="00F327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327F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7FB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327F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F327FB"/>
  </w:style>
  <w:style w:type="paragraph" w:styleId="a3">
    <w:name w:val="Body Text Indent"/>
    <w:basedOn w:val="a"/>
    <w:link w:val="a4"/>
    <w:rsid w:val="00F327FB"/>
    <w:pPr>
      <w:spacing w:after="0" w:line="22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32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rsid w:val="00F327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F327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327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rsid w:val="00F32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F327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F327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F327FB"/>
    <w:rPr>
      <w:color w:val="0000FF"/>
      <w:u w:val="single"/>
    </w:rPr>
  </w:style>
  <w:style w:type="paragraph" w:customStyle="1" w:styleId="western">
    <w:name w:val="western"/>
    <w:basedOn w:val="a"/>
    <w:rsid w:val="00F32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327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2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327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F327FB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327FB"/>
    <w:pPr>
      <w:widowControl w:val="0"/>
      <w:suppressAutoHyphens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c">
    <w:name w:val="Знак Знак"/>
    <w:basedOn w:val="a"/>
    <w:rsid w:val="00F327FB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d">
    <w:name w:val="List Paragraph"/>
    <w:basedOn w:val="a"/>
    <w:uiPriority w:val="34"/>
    <w:qFormat/>
    <w:rsid w:val="00396132"/>
    <w:pPr>
      <w:ind w:left="720"/>
      <w:contextualSpacing/>
    </w:pPr>
  </w:style>
  <w:style w:type="table" w:customStyle="1" w:styleId="12">
    <w:name w:val="Сетка таблицы1"/>
    <w:basedOn w:val="a1"/>
    <w:next w:val="a7"/>
    <w:uiPriority w:val="59"/>
    <w:rsid w:val="00AB53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ladikavkaz-oseti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F53AB-2924-40DD-B5FC-1C6B26B0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20</Pages>
  <Words>6567</Words>
  <Characters>37432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Георгий Фарниев</cp:lastModifiedBy>
  <cp:revision>10</cp:revision>
  <dcterms:created xsi:type="dcterms:W3CDTF">2013-12-05T12:36:00Z</dcterms:created>
  <dcterms:modified xsi:type="dcterms:W3CDTF">2013-12-06T09:07:00Z</dcterms:modified>
</cp:coreProperties>
</file>